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160"/>
      </w:pPr>
      <w:r>
        <w:rPr>
          <w:rFonts w:ascii="Calibri" w:cs="Calibri" w:eastAsia="Calibri" w:hAnsi="Calibri"/>
          <w:b/>
          <w:bCs/>
          <w:color w:val="003366"/>
          <w:sz w:val="36"/>
          <w:szCs w:val="36"/>
        </w:rPr>
        <w:t xml:space="preserve">Lernzettel: VLAN-Trunking, Native VLAN, Spanning Tree &amp; Link Aggregation</w:t>
      </w:r>
    </w:p>
    <w:p>
      <w:pPr>
        <w:spacing w:after="240" w:before="0"/>
      </w:pPr>
      <w:r>
        <w:rPr>
          <w:rFonts w:ascii="Calibri" w:cs="Calibri" w:eastAsia="Calibri" w:hAnsi="Calibri"/>
          <w:color w:val="666666"/>
          <w:sz w:val="20"/>
          <w:szCs w:val="20"/>
        </w:rPr>
        <w:t xml:space="preserve">FISI AP2-Vorbereitung  |  Block 1  |  bfw Lübeck</w:t>
      </w:r>
    </w:p>
    <w:p>
      <w:pPr>
        <w:pStyle w:val="Heading1"/>
        <w:shd w:fill="003366" w:val="clear"/>
        <w:spacing w:after="120" w:before="240"/>
        <w:ind w:left="160"/>
      </w:pPr>
      <w:r>
        <w:rPr>
          <w:rFonts w:ascii="Calibri" w:cs="Calibri" w:eastAsia="Calibri" w:hAnsi="Calibri"/>
          <w:b/>
          <w:bCs/>
          <w:color w:val="FFFFFF"/>
          <w:sz w:val="28"/>
          <w:szCs w:val="28"/>
        </w:rPr>
        <w:t xml:space="preserve">1  VLAN-Grundlagen (Wiederholung)</w:t>
      </w:r>
    </w:p>
    <w:p>
      <w:pPr>
        <w:spacing w:after="60" w:before="0"/>
      </w:pPr>
      <w:r>
        <w:rPr>
          <w:sz w:val="20"/>
          <w:szCs w:val="20"/>
        </w:rPr>
        <w:t xml:space="preserve"/>
      </w:r>
    </w:p>
    <w:p>
      <w:pPr>
        <w:spacing w:after="40" w:before="40"/>
      </w:pPr>
      <w:r>
        <w:rPr>
          <w:rFonts w:ascii="Calibri" w:cs="Calibri" w:eastAsia="Calibri" w:hAnsi="Calibri"/>
          <w:sz w:val="20"/>
          <w:szCs w:val="20"/>
        </w:rPr>
        <w:t xml:space="preserve">Ein Virtual Local Area Network (VLAN) ist ein logisches Netz, das unabhängig von der physischen Verkabelung Geräte in Gruppen aufteilt. Geräte im gleichen VLAN kommunizieren direkt miteinander; die Kommunikation zwischen VLANs erfordert einen Layer-3-fähigen Router oder Multilayer-Switch.</w:t>
      </w:r>
    </w:p>
    <w:p>
      <w:pPr>
        <w:spacing w:after="60" w:before="0"/>
      </w:pPr>
      <w:r>
        <w:rPr>
          <w:sz w:val="20"/>
          <w:szCs w:val="20"/>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0"/>
        <w:gridCol w:w="6226"/>
      </w:tblGrid>
      <w:tr>
        <w:tc>
          <w:tcPr>
            <w:tcW w:type="dxa" w:w="2800"/>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Begriff</w:t>
            </w:r>
          </w:p>
        </w:tc>
        <w:tc>
          <w:tcPr>
            <w:tcW w:type="dxa" w:w="6226"/>
            <w:tcBorders>
              <w:top w:val="single" w:color="CCCCCC" w:sz="1"/>
              <w:left w:val="single" w:color="CCCCCC" w:sz="1"/>
              <w:bottom w:val="single" w:color="CCCCCC" w:sz="1"/>
              <w:right w:val="single" w:color="CCCCCC" w:sz="1"/>
            </w:tcBorders>
            <w:shd w:fill="0066AA" w:val="clear"/>
            <w:tcMar>
              <w:top w:type="dxa" w:w="80"/>
              <w:left w:type="dxa" w:w="120"/>
              <w:bottom w:type="dxa" w:w="80"/>
              <w:right w:type="dxa" w:w="120"/>
            </w:tcMar>
          </w:tcPr>
          <w:p>
            <w:r>
              <w:rPr>
                <w:rFonts w:ascii="Calibri" w:cs="Calibri" w:eastAsia="Calibri" w:hAnsi="Calibri"/>
                <w:b/>
                <w:bCs/>
                <w:color w:val="FFFFFF"/>
                <w:sz w:val="20"/>
                <w:szCs w:val="20"/>
              </w:rPr>
              <w:t xml:space="preserve">Erläuterung</w:t>
            </w:r>
          </w:p>
        </w:tc>
      </w:tr>
      <w:tr>
        <w:tc>
          <w:tcPr>
            <w:tcW w:type="dxa" w:w="280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Calibri" w:cs="Calibri" w:eastAsia="Calibri" w:hAnsi="Calibri"/>
                <w:b/>
                <w:bCs/>
                <w:color w:val="003366"/>
                <w:sz w:val="20"/>
                <w:szCs w:val="20"/>
              </w:rPr>
              <w:t xml:space="preserve">VLAN-ID</w:t>
            </w:r>
          </w:p>
        </w:tc>
        <w:tc>
          <w:tcPr>
            <w:tcW w:type="dxa" w:w="622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sz w:val="20"/>
                <w:szCs w:val="20"/>
              </w:rPr>
              <w:t xml:space="preserve">Eindeutige Nummer (1–4094) zur Identifikation eines VLANs. VLAN 1 ist das Default-VLAN und auf jedem Switch voreingestellt.</w:t>
            </w:r>
          </w:p>
        </w:tc>
      </w:tr>
      <w:tr>
        <w:tc>
          <w:tcPr>
            <w:tcW w:type="dxa" w:w="280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Calibri" w:cs="Calibri" w:eastAsia="Calibri" w:hAnsi="Calibri"/>
                <w:b/>
                <w:bCs/>
                <w:color w:val="003366"/>
                <w:sz w:val="20"/>
                <w:szCs w:val="20"/>
              </w:rPr>
              <w:t xml:space="preserve">Access-Port</w:t>
            </w:r>
          </w:p>
        </w:tc>
        <w:tc>
          <w:tcPr>
            <w:tcW w:type="dxa" w:w="622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sz w:val="20"/>
                <w:szCs w:val="20"/>
              </w:rPr>
              <w:t xml:space="preserve">Port, der zu genau einem VLAN gehört. Endgeräte (PC, Drucker) werden hier angeschlossen. Eingehende Frames erhalten einen Tag, ausgehende verlieren ihn.</w:t>
            </w:r>
          </w:p>
        </w:tc>
      </w:tr>
      <w:tr>
        <w:tc>
          <w:tcPr>
            <w:tcW w:type="dxa" w:w="280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Calibri" w:cs="Calibri" w:eastAsia="Calibri" w:hAnsi="Calibri"/>
                <w:b/>
                <w:bCs/>
                <w:color w:val="003366"/>
                <w:sz w:val="20"/>
                <w:szCs w:val="20"/>
              </w:rPr>
              <w:t xml:space="preserve">Trunk-Port</w:t>
            </w:r>
          </w:p>
        </w:tc>
        <w:tc>
          <w:tcPr>
            <w:tcW w:type="dxa" w:w="622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sz w:val="20"/>
                <w:szCs w:val="20"/>
              </w:rPr>
              <w:t xml:space="preserve">Port, der Frames mehrerer VLANs gleichzeitig überträgt. Wird zwischen Switches oder zwischen Switch und Router eingesetzt. Frames werden mit 802.1Q-Tag versehen.</w:t>
            </w:r>
          </w:p>
        </w:tc>
      </w:tr>
      <w:tr>
        <w:tc>
          <w:tcPr>
            <w:tcW w:type="dxa" w:w="280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Calibri" w:cs="Calibri" w:eastAsia="Calibri" w:hAnsi="Calibri"/>
                <w:b/>
                <w:bCs/>
                <w:color w:val="003366"/>
                <w:sz w:val="20"/>
                <w:szCs w:val="20"/>
              </w:rPr>
              <w:t xml:space="preserve">802.1Q</w:t>
            </w:r>
          </w:p>
        </w:tc>
        <w:tc>
          <w:tcPr>
            <w:tcW w:type="dxa" w:w="622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sz w:val="20"/>
                <w:szCs w:val="20"/>
              </w:rPr>
              <w:t xml:space="preserve">IEEE-Standard für VLAN-Tagging. Fügt dem Ethernet-Frame ein 4-Byte-Tag mit VLAN-ID und Priority-Information ein.</w:t>
            </w:r>
          </w:p>
        </w:tc>
      </w:tr>
    </w:tbl>
    <w:p>
      <w:pPr>
        <w:spacing w:after="60" w:before="0"/>
      </w:pPr>
      <w:r>
        <w:rPr>
          <w:sz w:val="20"/>
          <w:szCs w:val="20"/>
        </w:rPr>
        <w:t xml:space="preserve"/>
      </w:r>
    </w:p>
    <w:p>
      <w:pPr>
        <w:pStyle w:val="Heading2"/>
        <w:pBdr>
          <w:bottom w:val="single" w:color="0066AA" w:sz="6" w:space="1"/>
        </w:pBdr>
        <w:spacing w:after="80" w:before="200"/>
      </w:pPr>
      <w:r>
        <w:rPr>
          <w:rFonts w:ascii="Calibri" w:cs="Calibri" w:eastAsia="Calibri" w:hAnsi="Calibri"/>
          <w:b/>
          <w:bCs/>
          <w:color w:val="003366"/>
          <w:sz w:val="24"/>
          <w:szCs w:val="24"/>
        </w:rPr>
        <w:t xml:space="preserve">1.1  Portbasierte vs. dynamische VLANs</w:t>
      </w:r>
    </w:p>
    <w:p>
      <w:pPr>
        <w:spacing w:after="60" w:before="0"/>
      </w:pPr>
      <w:r>
        <w:rPr>
          <w:sz w:val="20"/>
          <w:szCs w:val="20"/>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500"/>
        <w:gridCol w:w="3200"/>
        <w:gridCol w:w="3326"/>
      </w:tblGrid>
      <w:tr>
        <w:tc>
          <w:tcPr>
            <w:tcW w:type="dxa" w:w="2500"/>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Merkmal</w:t>
            </w:r>
          </w:p>
        </w:tc>
        <w:tc>
          <w:tcPr>
            <w:tcW w:type="dxa" w:w="3200"/>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Portbasiertes VLAN</w:t>
            </w:r>
          </w:p>
        </w:tc>
        <w:tc>
          <w:tcPr>
            <w:tcW w:type="dxa" w:w="3326"/>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Dynamisches VLAN</w:t>
            </w:r>
          </w:p>
        </w:tc>
      </w:tr>
      <w:tr>
        <w:tc>
          <w:tcPr>
            <w:tcW w:type="dxa" w:w="2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Zuordnung</w:t>
            </w:r>
          </w:p>
        </w:tc>
        <w:tc>
          <w:tcPr>
            <w:tcW w:type="dxa" w:w="3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Fest per Switch-Port</w:t>
            </w:r>
          </w:p>
        </w:tc>
        <w:tc>
          <w:tcPr>
            <w:tcW w:type="dxa" w:w="33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Per MAC-Adresse, 802.1X oder Zertifikat</w:t>
            </w:r>
          </w:p>
        </w:tc>
      </w:tr>
      <w:tr>
        <w:tc>
          <w:tcPr>
            <w:tcW w:type="dxa" w:w="25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Konfiguration</w:t>
            </w:r>
          </w:p>
        </w:tc>
        <w:tc>
          <w:tcPr>
            <w:tcW w:type="dxa" w:w="32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Manuell am Switch</w:t>
            </w:r>
          </w:p>
        </w:tc>
        <w:tc>
          <w:tcPr>
            <w:tcW w:type="dxa" w:w="3326"/>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Über RADIUS-Server / Authentifizierungsserver</w:t>
            </w:r>
          </w:p>
        </w:tc>
      </w:tr>
      <w:tr>
        <w:tc>
          <w:tcPr>
            <w:tcW w:type="dxa" w:w="2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Flexibilität</w:t>
            </w:r>
          </w:p>
        </w:tc>
        <w:tc>
          <w:tcPr>
            <w:tcW w:type="dxa" w:w="3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Gering (Gerät bleibt im VLAN)</w:t>
            </w:r>
          </w:p>
        </w:tc>
        <w:tc>
          <w:tcPr>
            <w:tcW w:type="dxa" w:w="33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Hoch (Gerät wechselt VLAN je nach Authentifizierung)</w:t>
            </w:r>
          </w:p>
        </w:tc>
      </w:tr>
      <w:tr>
        <w:tc>
          <w:tcPr>
            <w:tcW w:type="dxa" w:w="25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Aufwand</w:t>
            </w:r>
          </w:p>
        </w:tc>
        <w:tc>
          <w:tcPr>
            <w:tcW w:type="dxa" w:w="32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Niedrig</w:t>
            </w:r>
          </w:p>
        </w:tc>
        <w:tc>
          <w:tcPr>
            <w:tcW w:type="dxa" w:w="3326"/>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Hoch (Infrastruktur erforderlich)</w:t>
            </w:r>
          </w:p>
        </w:tc>
      </w:tr>
      <w:tr>
        <w:tc>
          <w:tcPr>
            <w:tcW w:type="dxa" w:w="2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Typischer Einsatz</w:t>
            </w:r>
          </w:p>
        </w:tc>
        <w:tc>
          <w:tcPr>
            <w:tcW w:type="dxa" w:w="3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Kleine/mittlere Netze</w:t>
            </w:r>
          </w:p>
        </w:tc>
        <w:tc>
          <w:tcPr>
            <w:tcW w:type="dxa" w:w="33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Große Umgebungen mit Mobilität</w:t>
            </w:r>
          </w:p>
        </w:tc>
      </w:tr>
    </w:tbl>
    <w:p>
      <w:pPr>
        <w:spacing w:after="60" w:before="0"/>
      </w:pPr>
      <w:r>
        <w:rPr>
          <w:sz w:val="20"/>
          <w:szCs w:val="20"/>
        </w:rPr>
        <w:t xml:space="preserve"/>
      </w:r>
    </w:p>
    <w:p>
      <w:pPr>
        <w:pStyle w:val="Heading1"/>
        <w:shd w:fill="003366" w:val="clear"/>
        <w:spacing w:after="120" w:before="240"/>
        <w:ind w:left="160"/>
      </w:pPr>
      <w:r>
        <w:rPr>
          <w:rFonts w:ascii="Calibri" w:cs="Calibri" w:eastAsia="Calibri" w:hAnsi="Calibri"/>
          <w:b/>
          <w:bCs/>
          <w:color w:val="FFFFFF"/>
          <w:sz w:val="28"/>
          <w:szCs w:val="28"/>
        </w:rPr>
        <w:t xml:space="preserve">2  802.1Q VLAN-Tagging</w:t>
      </w:r>
    </w:p>
    <w:p>
      <w:pPr>
        <w:spacing w:after="60" w:before="0"/>
      </w:pPr>
      <w:r>
        <w:rPr>
          <w:sz w:val="20"/>
          <w:szCs w:val="20"/>
        </w:rPr>
        <w:t xml:space="preserve"/>
      </w:r>
    </w:p>
    <w:p>
      <w:pPr>
        <w:spacing w:after="40" w:before="40"/>
      </w:pPr>
      <w:r>
        <w:rPr>
          <w:rFonts w:ascii="Calibri" w:cs="Calibri" w:eastAsia="Calibri" w:hAnsi="Calibri"/>
          <w:sz w:val="20"/>
          <w:szCs w:val="20"/>
        </w:rPr>
        <w:t xml:space="preserve">Damit Frames über Trunk-Ports transportiert werden können, fügt der sendende Switch einen 802.1Q-Tag in den Ethernet-Frame ein. Der empfangende Switch liest den Tag aus und leitet den Frame zum richtigen VLAN weiter.</w:t>
      </w:r>
    </w:p>
    <w:p>
      <w:pPr>
        <w:spacing w:after="60" w:before="0"/>
      </w:pPr>
      <w:r>
        <w:rPr>
          <w:sz w:val="20"/>
          <w:szCs w:val="20"/>
        </w:rPr>
        <w:t xml:space="preserve"/>
      </w:r>
    </w:p>
    <w:p>
      <w:pPr>
        <w:pStyle w:val="Heading2"/>
        <w:pBdr>
          <w:bottom w:val="single" w:color="0066AA" w:sz="6" w:space="1"/>
        </w:pBdr>
        <w:spacing w:after="80" w:before="200"/>
      </w:pPr>
      <w:r>
        <w:rPr>
          <w:rFonts w:ascii="Calibri" w:cs="Calibri" w:eastAsia="Calibri" w:hAnsi="Calibri"/>
          <w:b/>
          <w:bCs/>
          <w:color w:val="003366"/>
          <w:sz w:val="24"/>
          <w:szCs w:val="24"/>
        </w:rPr>
        <w:t xml:space="preserve">2.1  Aufbau des 802.1Q-Tags</w:t>
      </w:r>
    </w:p>
    <w:p>
      <w:pPr>
        <w:spacing w:after="60" w:before="0"/>
      </w:pPr>
      <w:r>
        <w:rPr>
          <w:sz w:val="20"/>
          <w:szCs w:val="20"/>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1500"/>
        <w:gridCol w:w="4526"/>
      </w:tblGrid>
      <w:tr>
        <w:tc>
          <w:tcPr>
            <w:tcW w:type="dxa" w:w="3000"/>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Feld</w:t>
            </w:r>
          </w:p>
        </w:tc>
        <w:tc>
          <w:tcPr>
            <w:tcW w:type="dxa" w:w="1500"/>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Größe</w:t>
            </w:r>
          </w:p>
        </w:tc>
        <w:tc>
          <w:tcPr>
            <w:tcW w:type="dxa" w:w="4526"/>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Bedeutung</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TPID (Tag Protocol Identifier)</w:t>
            </w:r>
          </w:p>
        </w:tc>
        <w:tc>
          <w:tcPr>
            <w:tcW w:type="dxa" w:w="1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2 Byte</w:t>
            </w:r>
          </w:p>
        </w:tc>
        <w:tc>
          <w:tcPr>
            <w:tcW w:type="dxa" w:w="45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Immer 0x8100 – kennzeichnet den Frame als 802.1Q-getaggt</w:t>
            </w:r>
          </w:p>
        </w:tc>
      </w:tr>
      <w:tr>
        <w:tc>
          <w:tcPr>
            <w:tcW w:type="dxa" w:w="30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PCP (Priority Code Point)</w:t>
            </w:r>
          </w:p>
        </w:tc>
        <w:tc>
          <w:tcPr>
            <w:tcW w:type="dxa" w:w="15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3 Bit</w:t>
            </w:r>
          </w:p>
        </w:tc>
        <w:tc>
          <w:tcPr>
            <w:tcW w:type="dxa" w:w="4526"/>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Quality of Service (QoS) – Priorität des Frames (0–7)</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DEI (Drop Eligible Indicator)</w:t>
            </w:r>
          </w:p>
        </w:tc>
        <w:tc>
          <w:tcPr>
            <w:tcW w:type="dxa" w:w="1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1 Bit</w:t>
            </w:r>
          </w:p>
        </w:tc>
        <w:tc>
          <w:tcPr>
            <w:tcW w:type="dxa" w:w="45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Gibt an, ob der Frame bei Überlastung verworfen werden darf</w:t>
            </w:r>
          </w:p>
        </w:tc>
      </w:tr>
      <w:tr>
        <w:tc>
          <w:tcPr>
            <w:tcW w:type="dxa" w:w="30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VID (VLAN Identifier)</w:t>
            </w:r>
          </w:p>
        </w:tc>
        <w:tc>
          <w:tcPr>
            <w:tcW w:type="dxa" w:w="15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12 Bit</w:t>
            </w:r>
          </w:p>
        </w:tc>
        <w:tc>
          <w:tcPr>
            <w:tcW w:type="dxa" w:w="4526"/>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VLAN-ID (0–4095; 0 und 4095 reserviert → nutzbar: 1–4094)</w:t>
            </w:r>
          </w:p>
        </w:tc>
      </w:tr>
    </w:tbl>
    <w:p>
      <w:pPr>
        <w:spacing w:after="60" w:before="0"/>
      </w:pPr>
      <w:r>
        <w:rPr>
          <w:sz w:val="20"/>
          <w:szCs w:val="20"/>
        </w:rPr>
        <w:t xml:space="preserve"/>
      </w:r>
    </w:p>
    <w:p>
      <w:pPr>
        <w:pStyle w:val="Heading2"/>
        <w:pBdr>
          <w:bottom w:val="single" w:color="0066AA" w:sz="6" w:space="1"/>
        </w:pBdr>
        <w:spacing w:after="80" w:before="200"/>
      </w:pPr>
      <w:r>
        <w:rPr>
          <w:rFonts w:ascii="Calibri" w:cs="Calibri" w:eastAsia="Calibri" w:hAnsi="Calibri"/>
          <w:b/>
          <w:bCs/>
          <w:color w:val="003366"/>
          <w:sz w:val="24"/>
          <w:szCs w:val="24"/>
        </w:rPr>
        <w:t xml:space="preserve">2.2  Tagged vs. Untagged Traffic</w:t>
      </w:r>
    </w:p>
    <w:p>
      <w:pPr>
        <w:spacing w:after="60" w:before="0"/>
      </w:pPr>
      <w:r>
        <w:rPr>
          <w:sz w:val="20"/>
          <w:szCs w:val="20"/>
        </w:rPr>
        <w:t xml:space="preserve"/>
      </w:r>
    </w:p>
    <w:p>
      <w:pPr>
        <w:spacing w:after="40" w:before="40"/>
      </w:pPr>
      <w:r>
        <w:rPr>
          <w:rFonts w:ascii="Calibri" w:cs="Calibri" w:eastAsia="Calibri" w:hAnsi="Calibri"/>
          <w:sz w:val="20"/>
          <w:szCs w:val="20"/>
        </w:rPr>
        <w:t xml:space="preserve">Eingehender Traffic an einem Trunk-Port:</w:t>
      </w:r>
    </w:p>
    <w:p>
      <w:pPr>
        <w:pStyle w:val="ListParagraph"/>
        <w:numPr>
          <w:ilvl w:val="0"/>
          <w:numId w:val="2"/>
        </w:numPr>
        <w:spacing w:after="30" w:before="30"/>
      </w:pPr>
      <w:r>
        <w:rPr>
          <w:rFonts w:ascii="Calibri" w:cs="Calibri" w:eastAsia="Calibri" w:hAnsi="Calibri"/>
          <w:b w:val="false"/>
          <w:bCs w:val="false"/>
          <w:sz w:val="20"/>
          <w:szCs w:val="20"/>
        </w:rPr>
        <w:t xml:space="preserve">Frame MIT Tag → Switch liest VLAN-ID, leitet in das entsprechende VLAN weiter</w:t>
      </w:r>
    </w:p>
    <w:p>
      <w:pPr>
        <w:pStyle w:val="ListParagraph"/>
        <w:numPr>
          <w:ilvl w:val="0"/>
          <w:numId w:val="2"/>
        </w:numPr>
        <w:spacing w:after="30" w:before="30"/>
      </w:pPr>
      <w:r>
        <w:rPr>
          <w:rFonts w:ascii="Calibri" w:cs="Calibri" w:eastAsia="Calibri" w:hAnsi="Calibri"/>
          <w:b w:val="false"/>
          <w:bCs w:val="false"/>
          <w:sz w:val="20"/>
          <w:szCs w:val="20"/>
        </w:rPr>
        <w:t xml:space="preserve">Frame OHNE Tag → Switch ordnet ihn dem Native VLAN zu (Standard: VLAN 1)</w:t>
      </w:r>
    </w:p>
    <w:p>
      <w:pPr>
        <w:spacing w:after="60" w:before="0"/>
      </w:pPr>
      <w:r>
        <w:rPr>
          <w:sz w:val="20"/>
          <w:szCs w:val="20"/>
        </w:rPr>
        <w:t xml:space="preserve"/>
      </w:r>
    </w:p>
    <w:p>
      <w:pPr>
        <w:spacing w:after="40" w:before="40"/>
      </w:pPr>
      <w:r>
        <w:rPr>
          <w:rFonts w:ascii="Calibri" w:cs="Calibri" w:eastAsia="Calibri" w:hAnsi="Calibri"/>
          <w:sz w:val="20"/>
          <w:szCs w:val="20"/>
        </w:rPr>
        <w:t xml:space="preserve">Ausgehender Traffic an einem Trunk-Port:</w:t>
      </w:r>
    </w:p>
    <w:p>
      <w:pPr>
        <w:pStyle w:val="ListParagraph"/>
        <w:numPr>
          <w:ilvl w:val="0"/>
          <w:numId w:val="2"/>
        </w:numPr>
        <w:spacing w:after="30" w:before="30"/>
      </w:pPr>
      <w:r>
        <w:rPr>
          <w:rFonts w:ascii="Calibri" w:cs="Calibri" w:eastAsia="Calibri" w:hAnsi="Calibri"/>
          <w:b w:val="false"/>
          <w:bCs w:val="false"/>
          <w:sz w:val="20"/>
          <w:szCs w:val="20"/>
        </w:rPr>
        <w:t xml:space="preserve">Frames des Native VLAN → werden OHNE Tag gesendet (untagged)</w:t>
      </w:r>
    </w:p>
    <w:p>
      <w:pPr>
        <w:pStyle w:val="ListParagraph"/>
        <w:numPr>
          <w:ilvl w:val="0"/>
          <w:numId w:val="2"/>
        </w:numPr>
        <w:spacing w:after="30" w:before="30"/>
      </w:pPr>
      <w:r>
        <w:rPr>
          <w:rFonts w:ascii="Calibri" w:cs="Calibri" w:eastAsia="Calibri" w:hAnsi="Calibri"/>
          <w:b w:val="false"/>
          <w:bCs w:val="false"/>
          <w:sz w:val="20"/>
          <w:szCs w:val="20"/>
        </w:rPr>
        <w:t xml:space="preserve">Frames aller anderen VLANs → werden MIT 802.1Q-Tag gesendet</w:t>
      </w:r>
    </w:p>
    <w:p>
      <w:pPr>
        <w:spacing w:after="60" w:before="0"/>
      </w:pPr>
      <w:r>
        <w:rPr>
          <w:sz w:val="20"/>
          <w:szCs w:val="20"/>
        </w:rPr>
        <w:t xml:space="preserve"/>
      </w:r>
    </w:p>
    <w:p>
      <w:pPr>
        <w:spacing w:after="40" w:before="40"/>
      </w:pPr>
      <w:r>
        <w:rPr>
          <w:rFonts w:ascii="Calibri" w:cs="Calibri" w:eastAsia="Calibri" w:hAnsi="Calibri"/>
          <w:sz w:val="20"/>
          <w:szCs w:val="20"/>
        </w:rPr>
        <w:t xml:space="preserve">Ausgehender Traffic an einem Access-Port:</w:t>
      </w:r>
    </w:p>
    <w:p>
      <w:pPr>
        <w:pStyle w:val="ListParagraph"/>
        <w:numPr>
          <w:ilvl w:val="0"/>
          <w:numId w:val="2"/>
        </w:numPr>
        <w:spacing w:after="30" w:before="30"/>
      </w:pPr>
      <w:r>
        <w:rPr>
          <w:rFonts w:ascii="Calibri" w:cs="Calibri" w:eastAsia="Calibri" w:hAnsi="Calibri"/>
          <w:b w:val="false"/>
          <w:bCs w:val="false"/>
          <w:sz w:val="20"/>
          <w:szCs w:val="20"/>
        </w:rPr>
        <w:t xml:space="preserve">Tag wird entfernt, Endgerät empfängt normalen Ethernet-Frame</w:t>
      </w:r>
    </w:p>
    <w:p>
      <w:pPr>
        <w:spacing w:after="60" w:before="0"/>
      </w:pPr>
      <w:r>
        <w:rPr>
          <w:sz w:val="20"/>
          <w:szCs w:val="20"/>
        </w:rPr>
        <w:t xml:space="preserve"/>
      </w:r>
    </w:p>
    <w:p>
      <w:pPr>
        <w:pStyle w:val="Heading1"/>
        <w:shd w:fill="003366" w:val="clear"/>
        <w:spacing w:after="120" w:before="240"/>
        <w:ind w:left="160"/>
      </w:pPr>
      <w:r>
        <w:rPr>
          <w:rFonts w:ascii="Calibri" w:cs="Calibri" w:eastAsia="Calibri" w:hAnsi="Calibri"/>
          <w:b/>
          <w:bCs/>
          <w:color w:val="FFFFFF"/>
          <w:sz w:val="28"/>
          <w:szCs w:val="28"/>
        </w:rPr>
        <w:t xml:space="preserve">3  Native VLAN</w:t>
      </w:r>
    </w:p>
    <w:p>
      <w:pPr>
        <w:spacing w:after="60" w:before="0"/>
      </w:pPr>
      <w:r>
        <w:rPr>
          <w:sz w:val="20"/>
          <w:szCs w:val="20"/>
        </w:rPr>
        <w:t xml:space="preserve"/>
      </w:r>
    </w:p>
    <w:tbl>
      <w:tblPr>
        <w:tblW w:type="dxa" w:w="9026"/>
        <w:tblBorders>
          <w:top w:val="single" w:color="0066AA" w:sz="4"/>
          <w:left w:val="single" w:color="0066AA" w:sz="4"/>
          <w:bottom w:val="single" w:color="0066AA" w:sz="4"/>
          <w:right w:val="single" w:color="0066AA" w:sz="4"/>
          <w:insideH w:val="single" w:color="auto" w:sz="4"/>
          <w:insideV w:val="single" w:color="auto" w:sz="4"/>
        </w:tblBorders>
      </w:tblPr>
      <w:tblGrid>
        <w:gridCol w:w="1200"/>
        <w:gridCol w:w="7826"/>
      </w:tblGrid>
      <w:tr>
        <w:tc>
          <w:tcPr>
            <w:tcW w:type="dxa" w:w="1200"/>
            <w:tcBorders>
              <w:top w:val="none" w:color="FFFFFF" w:sz="0"/>
              <w:left w:val="none" w:color="FFFFFF" w:sz="0"/>
              <w:bottom w:val="none" w:color="FFFFFF" w:sz="0"/>
              <w:right w:val="none" w:color="FFFFFF" w:sz="0"/>
            </w:tcBorders>
            <w:shd w:fill="003366" w:val="clear"/>
            <w:tcMar>
              <w:top w:type="dxa" w:w="80"/>
              <w:left w:type="dxa" w:w="120"/>
              <w:bottom w:type="dxa" w:w="80"/>
              <w:right w:type="dxa" w:w="120"/>
            </w:tcMar>
            <w:vAlign w:val="center"/>
          </w:tcPr>
          <w:p>
            <w:pPr>
              <w:jc w:val="center"/>
            </w:pPr>
            <w:r>
              <w:rPr>
                <w:rFonts w:ascii="Calibri" w:cs="Calibri" w:eastAsia="Calibri" w:hAnsi="Calibri"/>
                <w:b/>
                <w:bCs/>
                <w:color w:val="FFFFFF"/>
                <w:sz w:val="18"/>
                <w:szCs w:val="18"/>
              </w:rPr>
              <w:t xml:space="preserve">Definition</w:t>
            </w:r>
          </w:p>
        </w:tc>
        <w:tc>
          <w:tcPr>
            <w:tcW w:type="dxa" w:w="7826"/>
            <w:tcBorders>
              <w:top w:val="none" w:color="FFFFFF" w:sz="0"/>
              <w:left w:val="none" w:color="FFFFFF" w:sz="0"/>
              <w:bottom w:val="none" w:color="FFFFFF" w:sz="0"/>
              <w:right w:val="none" w:color="FFFFFF" w:sz="0"/>
            </w:tcBorders>
            <w:shd w:fill="EEF5FB" w:val="clear"/>
            <w:tcMar>
              <w:top w:type="dxa" w:w="80"/>
              <w:left w:type="dxa" w:w="160"/>
              <w:bottom w:type="dxa" w:w="80"/>
              <w:right w:type="dxa" w:w="120"/>
            </w:tcMar>
          </w:tcPr>
          <w:p>
            <w:r>
              <w:rPr>
                <w:rFonts w:ascii="Calibri" w:cs="Calibri" w:eastAsia="Calibri" w:hAnsi="Calibri"/>
                <w:sz w:val="20"/>
                <w:szCs w:val="20"/>
              </w:rPr>
              <w:t xml:space="preserve">Das Native VLAN ist das VLAN, dessen Frames auf einem Trunk-Port OHNE 802.1Q-Tag übertragen werden. Standardmäßig ist VLAN 1 das Native VLAN.</w:t>
            </w:r>
          </w:p>
        </w:tc>
      </w:tr>
    </w:tbl>
    <w:p>
      <w:pPr>
        <w:spacing w:after="60" w:before="0"/>
      </w:pPr>
      <w:r>
        <w:rPr>
          <w:sz w:val="20"/>
          <w:szCs w:val="20"/>
        </w:rPr>
        <w:t xml:space="preserve"/>
      </w:r>
    </w:p>
    <w:p>
      <w:pPr>
        <w:pStyle w:val="Heading2"/>
        <w:pBdr>
          <w:bottom w:val="single" w:color="0066AA" w:sz="6" w:space="1"/>
        </w:pBdr>
        <w:spacing w:after="80" w:before="200"/>
      </w:pPr>
      <w:r>
        <w:rPr>
          <w:rFonts w:ascii="Calibri" w:cs="Calibri" w:eastAsia="Calibri" w:hAnsi="Calibri"/>
          <w:b/>
          <w:bCs/>
          <w:color w:val="003366"/>
          <w:sz w:val="24"/>
          <w:szCs w:val="24"/>
        </w:rPr>
        <w:t xml:space="preserve">3.1  Funktion des Native VLANs</w:t>
      </w:r>
    </w:p>
    <w:p>
      <w:pPr>
        <w:spacing w:after="60" w:before="0"/>
      </w:pPr>
      <w:r>
        <w:rPr>
          <w:sz w:val="20"/>
          <w:szCs w:val="20"/>
        </w:rPr>
        <w:t xml:space="preserve"/>
      </w:r>
    </w:p>
    <w:p>
      <w:pPr>
        <w:pStyle w:val="ListParagraph"/>
        <w:numPr>
          <w:ilvl w:val="0"/>
          <w:numId w:val="2"/>
        </w:numPr>
        <w:spacing w:after="30" w:before="30"/>
      </w:pPr>
      <w:r>
        <w:rPr>
          <w:rFonts w:ascii="Calibri" w:cs="Calibri" w:eastAsia="Calibri" w:hAnsi="Calibri"/>
          <w:b w:val="false"/>
          <w:bCs w:val="false"/>
          <w:sz w:val="20"/>
          <w:szCs w:val="20"/>
        </w:rPr>
        <w:t xml:space="preserve">Ermöglicht die Kommunikation von Geräten, die kein VLAN-Tagging unterstützen (z. B. ältere Hubs, IP-Phones)</w:t>
      </w:r>
    </w:p>
    <w:p>
      <w:pPr>
        <w:pStyle w:val="ListParagraph"/>
        <w:numPr>
          <w:ilvl w:val="0"/>
          <w:numId w:val="2"/>
        </w:numPr>
        <w:spacing w:after="30" w:before="30"/>
      </w:pPr>
      <w:r>
        <w:rPr>
          <w:rFonts w:ascii="Calibri" w:cs="Calibri" w:eastAsia="Calibri" w:hAnsi="Calibri"/>
          <w:b w:val="false"/>
          <w:bCs w:val="false"/>
          <w:sz w:val="20"/>
          <w:szCs w:val="20"/>
        </w:rPr>
        <w:t xml:space="preserve">Jeder Trunk-Port hat genau ein Native VLAN – es wird pro Port konfiguriert</w:t>
      </w:r>
    </w:p>
    <w:p>
      <w:pPr>
        <w:pStyle w:val="ListParagraph"/>
        <w:numPr>
          <w:ilvl w:val="0"/>
          <w:numId w:val="2"/>
        </w:numPr>
        <w:spacing w:after="30" w:before="30"/>
      </w:pPr>
      <w:r>
        <w:rPr>
          <w:rFonts w:ascii="Calibri" w:cs="Calibri" w:eastAsia="Calibri" w:hAnsi="Calibri"/>
          <w:b w:val="false"/>
          <w:bCs w:val="false"/>
          <w:sz w:val="20"/>
          <w:szCs w:val="20"/>
        </w:rPr>
        <w:t xml:space="preserve">Beide Seiten eines Trunk-Links müssen dasselbe Native VLAN konfiguriert haben, sonst kommt es zu Fehlkommunikation</w:t>
      </w:r>
    </w:p>
    <w:p>
      <w:pPr>
        <w:spacing w:after="60" w:before="0"/>
      </w:pPr>
      <w:r>
        <w:rPr>
          <w:sz w:val="20"/>
          <w:szCs w:val="20"/>
        </w:rPr>
        <w:t xml:space="preserve"/>
      </w:r>
    </w:p>
    <w:p>
      <w:pPr>
        <w:pStyle w:val="Heading2"/>
        <w:pBdr>
          <w:bottom w:val="single" w:color="0066AA" w:sz="6" w:space="1"/>
        </w:pBdr>
        <w:spacing w:after="80" w:before="200"/>
      </w:pPr>
      <w:r>
        <w:rPr>
          <w:rFonts w:ascii="Calibri" w:cs="Calibri" w:eastAsia="Calibri" w:hAnsi="Calibri"/>
          <w:b/>
          <w:bCs/>
          <w:color w:val="003366"/>
          <w:sz w:val="24"/>
          <w:szCs w:val="24"/>
        </w:rPr>
        <w:t xml:space="preserve">3.2  Native VLAN ≠ Default VLAN (VLAN 1)</w:t>
      </w:r>
    </w:p>
    <w:p>
      <w:pPr>
        <w:spacing w:after="60" w:before="0"/>
      </w:pPr>
      <w:r>
        <w:rPr>
          <w:sz w:val="20"/>
          <w:szCs w:val="20"/>
        </w:rPr>
        <w:t xml:space="preserve"/>
      </w:r>
    </w:p>
    <w:p>
      <w:pPr>
        <w:spacing w:after="40" w:before="40"/>
      </w:pPr>
      <w:r>
        <w:rPr>
          <w:rFonts w:ascii="Calibri" w:cs="Calibri" w:eastAsia="Calibri" w:hAnsi="Calibri"/>
          <w:sz w:val="20"/>
          <w:szCs w:val="20"/>
        </w:rPr>
        <w:t xml:space="preserve">Dies ist ein häufiger Prüfungspunkt:</w:t>
      </w:r>
    </w:p>
    <w:p>
      <w:pPr>
        <w:spacing w:after="60" w:before="0"/>
      </w:pPr>
      <w:r>
        <w:rPr>
          <w:sz w:val="20"/>
          <w:szCs w:val="20"/>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0"/>
        <w:gridCol w:w="3100"/>
        <w:gridCol w:w="3126"/>
      </w:tblGrid>
      <w:tr>
        <w:tc>
          <w:tcPr>
            <w:tcW w:type="dxa" w:w="2800"/>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Merkmal</w:t>
            </w:r>
          </w:p>
        </w:tc>
        <w:tc>
          <w:tcPr>
            <w:tcW w:type="dxa" w:w="3100"/>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Default VLAN (VLAN 1)</w:t>
            </w:r>
          </w:p>
        </w:tc>
        <w:tc>
          <w:tcPr>
            <w:tcW w:type="dxa" w:w="3126"/>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Native VLAN</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Was ist es?</w:t>
            </w:r>
          </w:p>
        </w:tc>
        <w:tc>
          <w:tcPr>
            <w:tcW w:type="dxa" w:w="31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Das voreingestellte VLAN auf jedem Switch-Port</w:t>
            </w:r>
          </w:p>
        </w:tc>
        <w:tc>
          <w:tcPr>
            <w:tcW w:type="dxa" w:w="31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Das VLAN für ungetaggten Traffic auf Trunk-Ports</w:t>
            </w:r>
          </w:p>
        </w:tc>
      </w:tr>
      <w:tr>
        <w:tc>
          <w:tcPr>
            <w:tcW w:type="dxa" w:w="28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Veränderbar?</w:t>
            </w:r>
          </w:p>
        </w:tc>
        <w:tc>
          <w:tcPr>
            <w:tcW w:type="dxa" w:w="31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Kann nicht gelöscht werden</w:t>
            </w:r>
          </w:p>
        </w:tc>
        <w:tc>
          <w:tcPr>
            <w:tcW w:type="dxa" w:w="3126"/>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Kann auf jede VLAN-ID geändert werden</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Sicherheitsempfehlung</w:t>
            </w:r>
          </w:p>
        </w:tc>
        <w:tc>
          <w:tcPr>
            <w:tcW w:type="dxa" w:w="31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Nicht für Nutzdaten verwenden</w:t>
            </w:r>
          </w:p>
        </w:tc>
        <w:tc>
          <w:tcPr>
            <w:tcW w:type="dxa" w:w="31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Sollte von VLAN 1 auf ein unbenutztes VLAN geändert werden</w:t>
            </w:r>
          </w:p>
        </w:tc>
      </w:tr>
    </w:tbl>
    <w:p>
      <w:pPr>
        <w:spacing w:after="60" w:before="0"/>
      </w:pPr>
      <w:r>
        <w:rPr>
          <w:sz w:val="20"/>
          <w:szCs w:val="20"/>
        </w:rPr>
        <w:t xml:space="preserve"/>
      </w:r>
    </w:p>
    <w:p>
      <w:pPr>
        <w:pStyle w:val="Heading2"/>
        <w:pBdr>
          <w:bottom w:val="single" w:color="0066AA" w:sz="6" w:space="1"/>
        </w:pBdr>
        <w:spacing w:after="80" w:before="200"/>
      </w:pPr>
      <w:r>
        <w:rPr>
          <w:rFonts w:ascii="Calibri" w:cs="Calibri" w:eastAsia="Calibri" w:hAnsi="Calibri"/>
          <w:b/>
          <w:bCs/>
          <w:color w:val="003366"/>
          <w:sz w:val="24"/>
          <w:szCs w:val="24"/>
        </w:rPr>
        <w:t xml:space="preserve">3.3  VLAN-Hopping-Angriff</w:t>
      </w:r>
    </w:p>
    <w:p>
      <w:pPr>
        <w:spacing w:after="60" w:before="0"/>
      </w:pPr>
      <w:r>
        <w:rPr>
          <w:sz w:val="20"/>
          <w:szCs w:val="20"/>
        </w:rPr>
        <w:t xml:space="preserve"/>
      </w:r>
    </w:p>
    <w:tbl>
      <w:tblPr>
        <w:tblW w:type="dxa" w:w="9026"/>
        <w:tblBorders>
          <w:top w:val="single" w:color="0066AA" w:sz="4"/>
          <w:left w:val="single" w:color="0066AA" w:sz="4"/>
          <w:bottom w:val="single" w:color="0066AA" w:sz="4"/>
          <w:right w:val="single" w:color="0066AA" w:sz="4"/>
          <w:insideH w:val="single" w:color="auto" w:sz="4"/>
          <w:insideV w:val="single" w:color="auto" w:sz="4"/>
        </w:tblBorders>
      </w:tblPr>
      <w:tblGrid>
        <w:gridCol w:w="1200"/>
        <w:gridCol w:w="7826"/>
      </w:tblGrid>
      <w:tr>
        <w:tc>
          <w:tcPr>
            <w:tcW w:type="dxa" w:w="1200"/>
            <w:tcBorders>
              <w:top w:val="none" w:color="FFFFFF" w:sz="0"/>
              <w:left w:val="none" w:color="FFFFFF" w:sz="0"/>
              <w:bottom w:val="none" w:color="FFFFFF" w:sz="0"/>
              <w:right w:val="none" w:color="FFFFFF" w:sz="0"/>
            </w:tcBorders>
            <w:shd w:fill="003366" w:val="clear"/>
            <w:tcMar>
              <w:top w:type="dxa" w:w="80"/>
              <w:left w:type="dxa" w:w="120"/>
              <w:bottom w:type="dxa" w:w="80"/>
              <w:right w:type="dxa" w:w="120"/>
            </w:tcMar>
            <w:vAlign w:val="center"/>
          </w:tcPr>
          <w:p>
            <w:pPr>
              <w:jc w:val="center"/>
            </w:pPr>
            <w:r>
              <w:rPr>
                <w:rFonts w:ascii="Calibri" w:cs="Calibri" w:eastAsia="Calibri" w:hAnsi="Calibri"/>
                <w:b/>
                <w:bCs/>
                <w:color w:val="FFFFFF"/>
                <w:sz w:val="18"/>
                <w:szCs w:val="18"/>
              </w:rPr>
              <w:t xml:space="preserve">Problem</w:t>
            </w:r>
          </w:p>
        </w:tc>
        <w:tc>
          <w:tcPr>
            <w:tcW w:type="dxa" w:w="7826"/>
            <w:tcBorders>
              <w:top w:val="none" w:color="FFFFFF" w:sz="0"/>
              <w:left w:val="none" w:color="FFFFFF" w:sz="0"/>
              <w:bottom w:val="none" w:color="FFFFFF" w:sz="0"/>
              <w:right w:val="none" w:color="FFFFFF" w:sz="0"/>
            </w:tcBorders>
            <w:shd w:fill="EEF5FB" w:val="clear"/>
            <w:tcMar>
              <w:top w:type="dxa" w:w="80"/>
              <w:left w:type="dxa" w:w="160"/>
              <w:bottom w:type="dxa" w:w="80"/>
              <w:right w:type="dxa" w:w="120"/>
            </w:tcMar>
          </w:tcPr>
          <w:p>
            <w:r>
              <w:rPr>
                <w:rFonts w:ascii="Calibri" w:cs="Calibri" w:eastAsia="Calibri" w:hAnsi="Calibri"/>
                <w:sz w:val="20"/>
                <w:szCs w:val="20"/>
              </w:rPr>
              <w:t xml:space="preserve">Wenn Native VLAN = VLAN 1 (Default), kann ein Angreifer durch doppeltes Tagging (Double Tagging) Frames in ein fremdes VLAN einschleusen. Der erste Switch entfernt den äußeren Tag (Native VLAN), der zweite Switch verarbeitet den inneren Tag und leitet den Frame in das Ziel-VLAN weiter.</w:t>
            </w:r>
          </w:p>
        </w:tc>
      </w:tr>
    </w:tbl>
    <w:p>
      <w:pPr>
        <w:spacing w:after="60" w:before="0"/>
      </w:pPr>
      <w:r>
        <w:rPr>
          <w:sz w:val="20"/>
          <w:szCs w:val="20"/>
        </w:rPr>
        <w:t xml:space="preserve"/>
      </w:r>
    </w:p>
    <w:p>
      <w:pPr>
        <w:spacing w:after="60" w:before="140"/>
      </w:pPr>
      <w:r>
        <w:rPr>
          <w:rFonts w:ascii="Calibri" w:cs="Calibri" w:eastAsia="Calibri" w:hAnsi="Calibri"/>
          <w:b/>
          <w:bCs/>
          <w:color w:val="0066AA"/>
          <w:sz w:val="22"/>
          <w:szCs w:val="22"/>
        </w:rPr>
        <w:t xml:space="preserve">Gegenmaßnahmen:</w:t>
      </w:r>
    </w:p>
    <w:p>
      <w:pPr>
        <w:pStyle w:val="ListParagraph"/>
        <w:numPr>
          <w:ilvl w:val="0"/>
          <w:numId w:val="2"/>
        </w:numPr>
        <w:spacing w:after="30" w:before="30"/>
      </w:pPr>
      <w:r>
        <w:rPr>
          <w:rFonts w:ascii="Calibri" w:cs="Calibri" w:eastAsia="Calibri" w:hAnsi="Calibri"/>
          <w:b w:val="false"/>
          <w:bCs w:val="false"/>
          <w:sz w:val="20"/>
          <w:szCs w:val="20"/>
        </w:rPr>
        <w:t xml:space="preserve">Native VLAN auf ein unbenutztes VLAN setzen (z. B. VLAN 999), das keinem Endgerät zugeordnet ist</w:t>
      </w:r>
    </w:p>
    <w:p>
      <w:pPr>
        <w:pStyle w:val="ListParagraph"/>
        <w:numPr>
          <w:ilvl w:val="0"/>
          <w:numId w:val="2"/>
        </w:numPr>
        <w:spacing w:after="30" w:before="30"/>
      </w:pPr>
      <w:r>
        <w:rPr>
          <w:rFonts w:ascii="Calibri" w:cs="Calibri" w:eastAsia="Calibri" w:hAnsi="Calibri"/>
          <w:b w:val="false"/>
          <w:bCs w:val="false"/>
          <w:sz w:val="20"/>
          <w:szCs w:val="20"/>
        </w:rPr>
        <w:t xml:space="preserve">Alle ungenutzten Ports deaktivieren</w:t>
      </w:r>
    </w:p>
    <w:p>
      <w:pPr>
        <w:pStyle w:val="ListParagraph"/>
        <w:numPr>
          <w:ilvl w:val="0"/>
          <w:numId w:val="2"/>
        </w:numPr>
        <w:spacing w:after="30" w:before="30"/>
      </w:pPr>
      <w:r>
        <w:rPr>
          <w:rFonts w:ascii="Calibri" w:cs="Calibri" w:eastAsia="Calibri" w:hAnsi="Calibri"/>
          <w:b w:val="false"/>
          <w:bCs w:val="false"/>
          <w:sz w:val="20"/>
          <w:szCs w:val="20"/>
        </w:rPr>
        <w:t xml:space="preserve">Trunk-Ports explizit konfigurieren (kein automatisches Trunking)</w:t>
      </w:r>
    </w:p>
    <w:p>
      <w:pPr>
        <w:spacing w:after="60" w:before="0"/>
      </w:pPr>
      <w:r>
        <w:rPr>
          <w:sz w:val="20"/>
          <w:szCs w:val="20"/>
        </w:rPr>
        <w:t xml:space="preserve"/>
      </w:r>
    </w:p>
    <w:p>
      <w:r>
        <w:br w:type="page"/>
      </w:r>
    </w:p>
    <w:p>
      <w:pPr>
        <w:pStyle w:val="Heading1"/>
        <w:shd w:fill="003366" w:val="clear"/>
        <w:spacing w:after="120" w:before="240"/>
        <w:ind w:left="160"/>
      </w:pPr>
      <w:r>
        <w:rPr>
          <w:rFonts w:ascii="Calibri" w:cs="Calibri" w:eastAsia="Calibri" w:hAnsi="Calibri"/>
          <w:b/>
          <w:bCs/>
          <w:color w:val="FFFFFF"/>
          <w:sz w:val="28"/>
          <w:szCs w:val="28"/>
        </w:rPr>
        <w:t xml:space="preserve">4  Spanning Tree Protocol (STP)</w:t>
      </w:r>
    </w:p>
    <w:p>
      <w:pPr>
        <w:spacing w:after="60" w:before="0"/>
      </w:pPr>
      <w:r>
        <w:rPr>
          <w:sz w:val="20"/>
          <w:szCs w:val="20"/>
        </w:rPr>
        <w:t xml:space="preserve"/>
      </w:r>
    </w:p>
    <w:p>
      <w:pPr>
        <w:spacing w:after="40" w:before="40"/>
      </w:pPr>
      <w:r>
        <w:rPr>
          <w:rFonts w:ascii="Calibri" w:cs="Calibri" w:eastAsia="Calibri" w:hAnsi="Calibri"/>
          <w:sz w:val="20"/>
          <w:szCs w:val="20"/>
        </w:rPr>
        <w:t xml:space="preserve">Switches werden oft redundant verkabelt, damit bei einem Kabelausfall eine alternative Route vorhanden ist. Ohne STP entstehen dabei Schleifen im Netz, die zu Broadcast-Stürmen und MAC-Tabellen-Instabilität führen. STP verhindert Schleifen, indem es bestimmte Ports blockiert.</w:t>
      </w:r>
    </w:p>
    <w:p>
      <w:pPr>
        <w:spacing w:after="60" w:before="0"/>
      </w:pPr>
      <w:r>
        <w:rPr>
          <w:sz w:val="20"/>
          <w:szCs w:val="20"/>
        </w:rPr>
        <w:t xml:space="preserve"/>
      </w:r>
    </w:p>
    <w:tbl>
      <w:tblPr>
        <w:tblW w:type="dxa" w:w="9026"/>
        <w:tblBorders>
          <w:top w:val="single" w:color="0066AA" w:sz="4"/>
          <w:left w:val="single" w:color="0066AA" w:sz="4"/>
          <w:bottom w:val="single" w:color="0066AA" w:sz="4"/>
          <w:right w:val="single" w:color="0066AA" w:sz="4"/>
          <w:insideH w:val="single" w:color="auto" w:sz="4"/>
          <w:insideV w:val="single" w:color="auto" w:sz="4"/>
        </w:tblBorders>
      </w:tblPr>
      <w:tblGrid>
        <w:gridCol w:w="1200"/>
        <w:gridCol w:w="7826"/>
      </w:tblGrid>
      <w:tr>
        <w:tc>
          <w:tcPr>
            <w:tcW w:type="dxa" w:w="1200"/>
            <w:tcBorders>
              <w:top w:val="none" w:color="FFFFFF" w:sz="0"/>
              <w:left w:val="none" w:color="FFFFFF" w:sz="0"/>
              <w:bottom w:val="none" w:color="FFFFFF" w:sz="0"/>
              <w:right w:val="none" w:color="FFFFFF" w:sz="0"/>
            </w:tcBorders>
            <w:shd w:fill="003366" w:val="clear"/>
            <w:tcMar>
              <w:top w:type="dxa" w:w="80"/>
              <w:left w:type="dxa" w:w="120"/>
              <w:bottom w:type="dxa" w:w="80"/>
              <w:right w:type="dxa" w:w="120"/>
            </w:tcMar>
            <w:vAlign w:val="center"/>
          </w:tcPr>
          <w:p>
            <w:pPr>
              <w:jc w:val="center"/>
            </w:pPr>
            <w:r>
              <w:rPr>
                <w:rFonts w:ascii="Calibri" w:cs="Calibri" w:eastAsia="Calibri" w:hAnsi="Calibri"/>
                <w:b/>
                <w:bCs/>
                <w:color w:val="FFFFFF"/>
                <w:sz w:val="18"/>
                <w:szCs w:val="18"/>
              </w:rPr>
              <w:t xml:space="preserve">Funktion</w:t>
            </w:r>
          </w:p>
        </w:tc>
        <w:tc>
          <w:tcPr>
            <w:tcW w:type="dxa" w:w="7826"/>
            <w:tcBorders>
              <w:top w:val="none" w:color="FFFFFF" w:sz="0"/>
              <w:left w:val="none" w:color="FFFFFF" w:sz="0"/>
              <w:bottom w:val="none" w:color="FFFFFF" w:sz="0"/>
              <w:right w:val="none" w:color="FFFFFF" w:sz="0"/>
            </w:tcBorders>
            <w:shd w:fill="EEF5FB" w:val="clear"/>
            <w:tcMar>
              <w:top w:type="dxa" w:w="80"/>
              <w:left w:type="dxa" w:w="160"/>
              <w:bottom w:type="dxa" w:w="80"/>
              <w:right w:type="dxa" w:w="120"/>
            </w:tcMar>
          </w:tcPr>
          <w:p>
            <w:r>
              <w:rPr>
                <w:rFonts w:ascii="Calibri" w:cs="Calibri" w:eastAsia="Calibri" w:hAnsi="Calibri"/>
                <w:sz w:val="20"/>
                <w:szCs w:val="20"/>
              </w:rPr>
              <w:t xml:space="preserve">STP (IEEE 802.1D) berechnet einen schleifenfreien Baum (Spanning Tree) durch das Netz. Redundante Pfade werden identifiziert und einzelne Ports in den Blocking-Zustand versetzt. Fällt ein aktiver Pfad aus, wird ein blockierter Port automatisch aktiviert.</w:t>
            </w:r>
          </w:p>
        </w:tc>
      </w:tr>
    </w:tbl>
    <w:p>
      <w:pPr>
        <w:spacing w:after="60" w:before="0"/>
      </w:pPr>
      <w:r>
        <w:rPr>
          <w:sz w:val="20"/>
          <w:szCs w:val="20"/>
        </w:rPr>
        <w:t xml:space="preserve"/>
      </w:r>
    </w:p>
    <w:p>
      <w:pPr>
        <w:pStyle w:val="Heading2"/>
        <w:pBdr>
          <w:bottom w:val="single" w:color="0066AA" w:sz="6" w:space="1"/>
        </w:pBdr>
        <w:spacing w:after="80" w:before="200"/>
      </w:pPr>
      <w:r>
        <w:rPr>
          <w:rFonts w:ascii="Calibri" w:cs="Calibri" w:eastAsia="Calibri" w:hAnsi="Calibri"/>
          <w:b/>
          <w:bCs/>
          <w:color w:val="003366"/>
          <w:sz w:val="24"/>
          <w:szCs w:val="24"/>
        </w:rPr>
        <w:t xml:space="preserve">4.1  STP-Begriffe</w:t>
      </w:r>
    </w:p>
    <w:p>
      <w:pPr>
        <w:spacing w:after="60" w:before="0"/>
      </w:pPr>
      <w:r>
        <w:rPr>
          <w:sz w:val="20"/>
          <w:szCs w:val="20"/>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0"/>
        <w:gridCol w:w="6226"/>
      </w:tblGrid>
      <w:tr>
        <w:tc>
          <w:tcPr>
            <w:tcW w:type="dxa" w:w="2800"/>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Begriff</w:t>
            </w:r>
          </w:p>
        </w:tc>
        <w:tc>
          <w:tcPr>
            <w:tcW w:type="dxa" w:w="6226"/>
            <w:tcBorders>
              <w:top w:val="single" w:color="CCCCCC" w:sz="1"/>
              <w:left w:val="single" w:color="CCCCCC" w:sz="1"/>
              <w:bottom w:val="single" w:color="CCCCCC" w:sz="1"/>
              <w:right w:val="single" w:color="CCCCCC" w:sz="1"/>
            </w:tcBorders>
            <w:shd w:fill="0066AA" w:val="clear"/>
            <w:tcMar>
              <w:top w:type="dxa" w:w="80"/>
              <w:left w:type="dxa" w:w="120"/>
              <w:bottom w:type="dxa" w:w="80"/>
              <w:right w:type="dxa" w:w="120"/>
            </w:tcMar>
          </w:tcPr>
          <w:p>
            <w:r>
              <w:rPr>
                <w:rFonts w:ascii="Calibri" w:cs="Calibri" w:eastAsia="Calibri" w:hAnsi="Calibri"/>
                <w:b/>
                <w:bCs/>
                <w:color w:val="FFFFFF"/>
                <w:sz w:val="20"/>
                <w:szCs w:val="20"/>
              </w:rPr>
              <w:t xml:space="preserve">Erläuterung</w:t>
            </w:r>
          </w:p>
        </w:tc>
      </w:tr>
      <w:tr>
        <w:tc>
          <w:tcPr>
            <w:tcW w:type="dxa" w:w="280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Calibri" w:cs="Calibri" w:eastAsia="Calibri" w:hAnsi="Calibri"/>
                <w:b/>
                <w:bCs/>
                <w:color w:val="003366"/>
                <w:sz w:val="20"/>
                <w:szCs w:val="20"/>
              </w:rPr>
              <w:t xml:space="preserve">Root Bridge</w:t>
            </w:r>
          </w:p>
        </w:tc>
        <w:tc>
          <w:tcPr>
            <w:tcW w:type="dxa" w:w="622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sz w:val="20"/>
                <w:szCs w:val="20"/>
              </w:rPr>
              <w:t xml:space="preserve">Switch mit der niedrigsten Bridge-ID (Priorität + MAC-Adresse). Alle anderen Switches bauen ihren Spanning Tree ausgehend von der Root Bridge auf.</w:t>
            </w:r>
          </w:p>
        </w:tc>
      </w:tr>
      <w:tr>
        <w:tc>
          <w:tcPr>
            <w:tcW w:type="dxa" w:w="280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Calibri" w:cs="Calibri" w:eastAsia="Calibri" w:hAnsi="Calibri"/>
                <w:b/>
                <w:bCs/>
                <w:color w:val="003366"/>
                <w:sz w:val="20"/>
                <w:szCs w:val="20"/>
              </w:rPr>
              <w:t xml:space="preserve">Bridge-ID</w:t>
            </w:r>
          </w:p>
        </w:tc>
        <w:tc>
          <w:tcPr>
            <w:tcW w:type="dxa" w:w="622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sz w:val="20"/>
                <w:szCs w:val="20"/>
              </w:rPr>
              <w:t xml:space="preserve">8 Byte: 2 Byte Priorität (Standard 32768) + 6 Byte MAC-Adresse. Niedrigere Priorität = bevorzugt als Root Bridge.</w:t>
            </w:r>
          </w:p>
        </w:tc>
      </w:tr>
      <w:tr>
        <w:tc>
          <w:tcPr>
            <w:tcW w:type="dxa" w:w="280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Calibri" w:cs="Calibri" w:eastAsia="Calibri" w:hAnsi="Calibri"/>
                <w:b/>
                <w:bCs/>
                <w:color w:val="003366"/>
                <w:sz w:val="20"/>
                <w:szCs w:val="20"/>
              </w:rPr>
              <w:t xml:space="preserve">Root Port</w:t>
            </w:r>
          </w:p>
        </w:tc>
        <w:tc>
          <w:tcPr>
            <w:tcW w:type="dxa" w:w="622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sz w:val="20"/>
                <w:szCs w:val="20"/>
              </w:rPr>
              <w:t xml:space="preserve">Port jedes Nicht-Root-Switches mit dem besten (günstigsten) Pfad zur Root Bridge. Genau ein Root Port pro Switch.</w:t>
            </w:r>
          </w:p>
        </w:tc>
      </w:tr>
      <w:tr>
        <w:tc>
          <w:tcPr>
            <w:tcW w:type="dxa" w:w="280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Calibri" w:cs="Calibri" w:eastAsia="Calibri" w:hAnsi="Calibri"/>
                <w:b/>
                <w:bCs/>
                <w:color w:val="003366"/>
                <w:sz w:val="20"/>
                <w:szCs w:val="20"/>
              </w:rPr>
              <w:t xml:space="preserve">Designated Port</w:t>
            </w:r>
          </w:p>
        </w:tc>
        <w:tc>
          <w:tcPr>
            <w:tcW w:type="dxa" w:w="622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sz w:val="20"/>
                <w:szCs w:val="20"/>
              </w:rPr>
              <w:t xml:space="preserve">Weitergeleiteter Port pro Netzsegment. Auf der Root Bridge sind alle Ports Designated Ports.</w:t>
            </w:r>
          </w:p>
        </w:tc>
      </w:tr>
      <w:tr>
        <w:tc>
          <w:tcPr>
            <w:tcW w:type="dxa" w:w="280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Calibri" w:cs="Calibri" w:eastAsia="Calibri" w:hAnsi="Calibri"/>
                <w:b/>
                <w:bCs/>
                <w:color w:val="003366"/>
                <w:sz w:val="20"/>
                <w:szCs w:val="20"/>
              </w:rPr>
              <w:t xml:space="preserve">Blocked Port</w:t>
            </w:r>
          </w:p>
        </w:tc>
        <w:tc>
          <w:tcPr>
            <w:tcW w:type="dxa" w:w="622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sz w:val="20"/>
                <w:szCs w:val="20"/>
              </w:rPr>
              <w:t xml:space="preserve">Port, der Datenpakete weder weiterleitet noch empfängt (nur BPDUs). Verhindert Schleifen.</w:t>
            </w:r>
          </w:p>
        </w:tc>
      </w:tr>
      <w:tr>
        <w:tc>
          <w:tcPr>
            <w:tcW w:type="dxa" w:w="280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Calibri" w:cs="Calibri" w:eastAsia="Calibri" w:hAnsi="Calibri"/>
                <w:b/>
                <w:bCs/>
                <w:color w:val="003366"/>
                <w:sz w:val="20"/>
                <w:szCs w:val="20"/>
              </w:rPr>
              <w:t xml:space="preserve">BPDU</w:t>
            </w:r>
          </w:p>
        </w:tc>
        <w:tc>
          <w:tcPr>
            <w:tcW w:type="dxa" w:w="622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sz w:val="20"/>
                <w:szCs w:val="20"/>
              </w:rPr>
              <w:t xml:space="preserve">Bridge Protocol Data Unit – Steuernachrichten, die Switches untereinander austauschen, um den Spanning Tree zu berechnen und Topologieänderungen zu erkennen.</w:t>
            </w:r>
          </w:p>
        </w:tc>
      </w:tr>
      <w:tr>
        <w:tc>
          <w:tcPr>
            <w:tcW w:type="dxa" w:w="280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Calibri" w:cs="Calibri" w:eastAsia="Calibri" w:hAnsi="Calibri"/>
                <w:b/>
                <w:bCs/>
                <w:color w:val="003366"/>
                <w:sz w:val="20"/>
                <w:szCs w:val="20"/>
              </w:rPr>
              <w:t xml:space="preserve">Pfadkosten</w:t>
            </w:r>
          </w:p>
        </w:tc>
        <w:tc>
          <w:tcPr>
            <w:tcW w:type="dxa" w:w="622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Calibri" w:cs="Calibri" w:eastAsia="Calibri" w:hAnsi="Calibri"/>
                <w:sz w:val="20"/>
                <w:szCs w:val="20"/>
              </w:rPr>
              <w:t xml:space="preserve">Kosten eines Ports abhängig von der Bandbreite. 100 MBit/s = 19, 1 GBit/s = 4, 10 GBit/s = 2. Niedrigere Kosten = bevorzugter Pfad.</w:t>
            </w:r>
          </w:p>
        </w:tc>
      </w:tr>
    </w:tbl>
    <w:p>
      <w:pPr>
        <w:spacing w:after="60" w:before="0"/>
      </w:pPr>
      <w:r>
        <w:rPr>
          <w:sz w:val="20"/>
          <w:szCs w:val="20"/>
        </w:rPr>
        <w:t xml:space="preserve"/>
      </w:r>
    </w:p>
    <w:p>
      <w:pPr>
        <w:pStyle w:val="Heading2"/>
        <w:pBdr>
          <w:bottom w:val="single" w:color="0066AA" w:sz="6" w:space="1"/>
        </w:pBdr>
        <w:spacing w:after="80" w:before="200"/>
      </w:pPr>
      <w:r>
        <w:rPr>
          <w:rFonts w:ascii="Calibri" w:cs="Calibri" w:eastAsia="Calibri" w:hAnsi="Calibri"/>
          <w:b/>
          <w:bCs/>
          <w:color w:val="003366"/>
          <w:sz w:val="24"/>
          <w:szCs w:val="24"/>
        </w:rPr>
        <w:t xml:space="preserve">4.2  STP-Portzustände</w:t>
      </w:r>
    </w:p>
    <w:p>
      <w:pPr>
        <w:spacing w:after="60" w:before="0"/>
      </w:pPr>
      <w:r>
        <w:rPr>
          <w:sz w:val="20"/>
          <w:szCs w:val="20"/>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1700"/>
        <w:gridCol w:w="1700"/>
        <w:gridCol w:w="2000"/>
        <w:gridCol w:w="1626"/>
      </w:tblGrid>
      <w:tr>
        <w:tc>
          <w:tcPr>
            <w:tcW w:type="dxa" w:w="2000"/>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Zustand</w:t>
            </w:r>
          </w:p>
        </w:tc>
        <w:tc>
          <w:tcPr>
            <w:tcW w:type="dxa" w:w="1700"/>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Verarbeitet BPDUs?</w:t>
            </w:r>
          </w:p>
        </w:tc>
        <w:tc>
          <w:tcPr>
            <w:tcW w:type="dxa" w:w="1700"/>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Lernt MACs?</w:t>
            </w:r>
          </w:p>
        </w:tc>
        <w:tc>
          <w:tcPr>
            <w:tcW w:type="dxa" w:w="2000"/>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Leitet Daten weiter?</w:t>
            </w:r>
          </w:p>
        </w:tc>
        <w:tc>
          <w:tcPr>
            <w:tcW w:type="dxa" w:w="1626"/>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Dauer</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Blocking</w:t>
            </w:r>
          </w:p>
        </w:tc>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Ja</w:t>
            </w:r>
          </w:p>
        </w:tc>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Nein</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Nein</w:t>
            </w:r>
          </w:p>
        </w:tc>
        <w:tc>
          <w:tcPr>
            <w:tcW w:type="dxa" w:w="16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Dauerhaft (blockierter Pfad)</w:t>
            </w:r>
          </w:p>
        </w:tc>
      </w:tr>
      <w:tr>
        <w:tc>
          <w:tcPr>
            <w:tcW w:type="dxa" w:w="20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Listening</w:t>
            </w:r>
          </w:p>
        </w:tc>
        <w:tc>
          <w:tcPr>
            <w:tcW w:type="dxa" w:w="17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Ja</w:t>
            </w:r>
          </w:p>
        </w:tc>
        <w:tc>
          <w:tcPr>
            <w:tcW w:type="dxa" w:w="17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Nein</w:t>
            </w:r>
          </w:p>
        </w:tc>
        <w:tc>
          <w:tcPr>
            <w:tcW w:type="dxa" w:w="20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Nein</w:t>
            </w:r>
          </w:p>
        </w:tc>
        <w:tc>
          <w:tcPr>
            <w:tcW w:type="dxa" w:w="1626"/>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15 Sek. (Forward Delay)</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Learning</w:t>
            </w:r>
          </w:p>
        </w:tc>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Ja</w:t>
            </w:r>
          </w:p>
        </w:tc>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Ja</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Nein</w:t>
            </w:r>
          </w:p>
        </w:tc>
        <w:tc>
          <w:tcPr>
            <w:tcW w:type="dxa" w:w="16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15 Sek. (Forward Delay)</w:t>
            </w:r>
          </w:p>
        </w:tc>
      </w:tr>
      <w:tr>
        <w:tc>
          <w:tcPr>
            <w:tcW w:type="dxa" w:w="20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Forwarding</w:t>
            </w:r>
          </w:p>
        </w:tc>
        <w:tc>
          <w:tcPr>
            <w:tcW w:type="dxa" w:w="17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Ja</w:t>
            </w:r>
          </w:p>
        </w:tc>
        <w:tc>
          <w:tcPr>
            <w:tcW w:type="dxa" w:w="17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Ja</w:t>
            </w:r>
          </w:p>
        </w:tc>
        <w:tc>
          <w:tcPr>
            <w:tcW w:type="dxa" w:w="20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Ja</w:t>
            </w:r>
          </w:p>
        </w:tc>
        <w:tc>
          <w:tcPr>
            <w:tcW w:type="dxa" w:w="1626"/>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Normal</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Disabled</w:t>
            </w:r>
          </w:p>
        </w:tc>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Nein</w:t>
            </w:r>
          </w:p>
        </w:tc>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Nein</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Nein</w:t>
            </w:r>
          </w:p>
        </w:tc>
        <w:tc>
          <w:tcPr>
            <w:tcW w:type="dxa" w:w="16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Admin. deaktiviert</w:t>
            </w:r>
          </w:p>
        </w:tc>
      </w:tr>
    </w:tbl>
    <w:p>
      <w:pPr>
        <w:spacing w:after="60" w:before="0"/>
      </w:pPr>
      <w:r>
        <w:rPr>
          <w:sz w:val="20"/>
          <w:szCs w:val="20"/>
        </w:rPr>
        <w:t xml:space="preserve"/>
      </w:r>
    </w:p>
    <w:p>
      <w:pPr>
        <w:spacing w:after="40" w:before="40"/>
      </w:pPr>
      <w:r>
        <w:rPr>
          <w:rFonts w:ascii="Calibri" w:cs="Calibri" w:eastAsia="Calibri" w:hAnsi="Calibri"/>
          <w:sz w:val="20"/>
          <w:szCs w:val="20"/>
        </w:rPr>
        <w:t xml:space="preserve">Konvergenzzeit klassisches STP: bis zu 50 Sekunden (2× Hello-Time + 2× Forward Delay). Rapid STP (RSTP, 802.1w) reduziert diese auf wenige Sekunden.</w:t>
      </w:r>
    </w:p>
    <w:p>
      <w:pPr>
        <w:spacing w:after="60" w:before="0"/>
      </w:pPr>
      <w:r>
        <w:rPr>
          <w:sz w:val="20"/>
          <w:szCs w:val="20"/>
        </w:rPr>
        <w:t xml:space="preserve"/>
      </w:r>
    </w:p>
    <w:p>
      <w:pPr>
        <w:pStyle w:val="Heading2"/>
        <w:pBdr>
          <w:bottom w:val="single" w:color="0066AA" w:sz="6" w:space="1"/>
        </w:pBdr>
        <w:spacing w:after="80" w:before="200"/>
      </w:pPr>
      <w:r>
        <w:rPr>
          <w:rFonts w:ascii="Calibri" w:cs="Calibri" w:eastAsia="Calibri" w:hAnsi="Calibri"/>
          <w:b/>
          <w:bCs/>
          <w:color w:val="003366"/>
          <w:sz w:val="24"/>
          <w:szCs w:val="24"/>
        </w:rPr>
        <w:t xml:space="preserve">4.3  Warum wird ein Port geblockt? (Prüfungsklassiker)</w:t>
      </w:r>
    </w:p>
    <w:p>
      <w:pPr>
        <w:spacing w:after="60" w:before="0"/>
      </w:pPr>
      <w:r>
        <w:rPr>
          <w:sz w:val="20"/>
          <w:szCs w:val="20"/>
        </w:rPr>
        <w:t xml:space="preserve"/>
      </w:r>
    </w:p>
    <w:p>
      <w:pPr>
        <w:spacing w:after="40" w:before="40"/>
      </w:pPr>
      <w:r>
        <w:rPr>
          <w:rFonts w:ascii="Calibri" w:cs="Calibri" w:eastAsia="Calibri" w:hAnsi="Calibri"/>
          <w:sz w:val="20"/>
          <w:szCs w:val="20"/>
        </w:rPr>
        <w:t xml:space="preserve">Im Netzwerkplan der IHK-Wear GmbH (Sommer 2025) war ein Port zwischen MLS1 und MLS2 geblockt. Die Frage: Warum?</w:t>
      </w:r>
    </w:p>
    <w:p>
      <w:pPr>
        <w:spacing w:after="60" w:before="0"/>
      </w:pPr>
      <w:r>
        <w:rPr>
          <w:sz w:val="20"/>
          <w:szCs w:val="20"/>
        </w:rPr>
        <w:t xml:space="preserve"/>
      </w:r>
    </w:p>
    <w:tbl>
      <w:tblPr>
        <w:tblW w:type="dxa" w:w="9026"/>
        <w:tblBorders>
          <w:top w:val="single" w:color="0066AA" w:sz="4"/>
          <w:left w:val="single" w:color="0066AA" w:sz="4"/>
          <w:bottom w:val="single" w:color="0066AA" w:sz="4"/>
          <w:right w:val="single" w:color="0066AA" w:sz="4"/>
          <w:insideH w:val="single" w:color="auto" w:sz="4"/>
          <w:insideV w:val="single" w:color="auto" w:sz="4"/>
        </w:tblBorders>
      </w:tblPr>
      <w:tblGrid>
        <w:gridCol w:w="1200"/>
        <w:gridCol w:w="7826"/>
      </w:tblGrid>
      <w:tr>
        <w:tc>
          <w:tcPr>
            <w:tcW w:type="dxa" w:w="1200"/>
            <w:tcBorders>
              <w:top w:val="none" w:color="FFFFFF" w:sz="0"/>
              <w:left w:val="none" w:color="FFFFFF" w:sz="0"/>
              <w:bottom w:val="none" w:color="FFFFFF" w:sz="0"/>
              <w:right w:val="none" w:color="FFFFFF" w:sz="0"/>
            </w:tcBorders>
            <w:shd w:fill="003366" w:val="clear"/>
            <w:tcMar>
              <w:top w:type="dxa" w:w="80"/>
              <w:left w:type="dxa" w:w="120"/>
              <w:bottom w:type="dxa" w:w="80"/>
              <w:right w:type="dxa" w:w="120"/>
            </w:tcMar>
            <w:vAlign w:val="center"/>
          </w:tcPr>
          <w:p>
            <w:pPr>
              <w:jc w:val="center"/>
            </w:pPr>
            <w:r>
              <w:rPr>
                <w:rFonts w:ascii="Calibri" w:cs="Calibri" w:eastAsia="Calibri" w:hAnsi="Calibri"/>
                <w:b/>
                <w:bCs/>
                <w:color w:val="FFFFFF"/>
                <w:sz w:val="18"/>
                <w:szCs w:val="18"/>
              </w:rPr>
              <w:t xml:space="preserve">Antwort</w:t>
            </w:r>
          </w:p>
        </w:tc>
        <w:tc>
          <w:tcPr>
            <w:tcW w:type="dxa" w:w="7826"/>
            <w:tcBorders>
              <w:top w:val="none" w:color="FFFFFF" w:sz="0"/>
              <w:left w:val="none" w:color="FFFFFF" w:sz="0"/>
              <w:bottom w:val="none" w:color="FFFFFF" w:sz="0"/>
              <w:right w:val="none" w:color="FFFFFF" w:sz="0"/>
            </w:tcBorders>
            <w:shd w:fill="EEF5FB" w:val="clear"/>
            <w:tcMar>
              <w:top w:type="dxa" w:w="80"/>
              <w:left w:type="dxa" w:w="160"/>
              <w:bottom w:type="dxa" w:w="80"/>
              <w:right w:type="dxa" w:w="120"/>
            </w:tcMar>
          </w:tcPr>
          <w:p>
            <w:r>
              <w:rPr>
                <w:rFonts w:ascii="Calibri" w:cs="Calibri" w:eastAsia="Calibri" w:hAnsi="Calibri"/>
                <w:sz w:val="20"/>
                <w:szCs w:val="20"/>
              </w:rPr>
              <w:t xml:space="preserve">Das Netz ist redundant verkabelt (Portchannel zwischen MLS1-MLS2, MLS2-MLS3, MLS3-MLS4, MLS4-MLS1). Ohne STP entstünden Schleifen. STP berechnet den optimalen Baum und blockiert genau die Ports, die Schleifen verursachen würden. Der Port ist betriebsfähig, wird aber vom STP-Algorithmus in den Blocking-Zustand versetzt.</w:t>
            </w:r>
          </w:p>
        </w:tc>
      </w:tr>
    </w:tbl>
    <w:p>
      <w:pPr>
        <w:spacing w:after="60" w:before="0"/>
      </w:pPr>
      <w:r>
        <w:rPr>
          <w:sz w:val="20"/>
          <w:szCs w:val="20"/>
        </w:rPr>
        <w:t xml:space="preserve"/>
      </w:r>
    </w:p>
    <w:p>
      <w:r>
        <w:br w:type="page"/>
      </w:r>
    </w:p>
    <w:p>
      <w:pPr>
        <w:pStyle w:val="Heading1"/>
        <w:shd w:fill="003366" w:val="clear"/>
        <w:spacing w:after="120" w:before="240"/>
        <w:ind w:left="160"/>
      </w:pPr>
      <w:r>
        <w:rPr>
          <w:rFonts w:ascii="Calibri" w:cs="Calibri" w:eastAsia="Calibri" w:hAnsi="Calibri"/>
          <w:b/>
          <w:bCs/>
          <w:color w:val="FFFFFF"/>
          <w:sz w:val="28"/>
          <w:szCs w:val="28"/>
        </w:rPr>
        <w:t xml:space="preserve">5  Link Aggregation (Port-Channel / LACP)</w:t>
      </w:r>
    </w:p>
    <w:p>
      <w:pPr>
        <w:spacing w:after="60" w:before="0"/>
      </w:pPr>
      <w:r>
        <w:rPr>
          <w:sz w:val="20"/>
          <w:szCs w:val="20"/>
        </w:rPr>
        <w:t xml:space="preserve"/>
      </w:r>
    </w:p>
    <w:p>
      <w:pPr>
        <w:spacing w:after="40" w:before="40"/>
      </w:pPr>
      <w:r>
        <w:rPr>
          <w:rFonts w:ascii="Calibri" w:cs="Calibri" w:eastAsia="Calibri" w:hAnsi="Calibri"/>
          <w:sz w:val="20"/>
          <w:szCs w:val="20"/>
        </w:rPr>
        <w:t xml:space="preserve">Link Aggregation (IEEE 802.3ad / LACP) fasst mehrere physische Leitungen zu einem logischen Link zusammen. Im Netzwerkplan erscheinen solche Verbindungen als dicke Linien mit der Bezeichnung 'Portchannel'.</w:t>
      </w:r>
    </w:p>
    <w:p>
      <w:pPr>
        <w:spacing w:after="60" w:before="0"/>
      </w:pPr>
      <w:r>
        <w:rPr>
          <w:sz w:val="20"/>
          <w:szCs w:val="20"/>
        </w:rPr>
        <w:t xml:space="preserve"/>
      </w:r>
    </w:p>
    <w:tbl>
      <w:tblPr>
        <w:tblW w:type="dxa" w:w="9026"/>
        <w:tblBorders>
          <w:top w:val="single" w:color="0066AA" w:sz="4"/>
          <w:left w:val="single" w:color="0066AA" w:sz="4"/>
          <w:bottom w:val="single" w:color="0066AA" w:sz="4"/>
          <w:right w:val="single" w:color="0066AA" w:sz="4"/>
          <w:insideH w:val="single" w:color="auto" w:sz="4"/>
          <w:insideV w:val="single" w:color="auto" w:sz="4"/>
        </w:tblBorders>
      </w:tblPr>
      <w:tblGrid>
        <w:gridCol w:w="1200"/>
        <w:gridCol w:w="7826"/>
      </w:tblGrid>
      <w:tr>
        <w:tc>
          <w:tcPr>
            <w:tcW w:type="dxa" w:w="1200"/>
            <w:tcBorders>
              <w:top w:val="none" w:color="FFFFFF" w:sz="0"/>
              <w:left w:val="none" w:color="FFFFFF" w:sz="0"/>
              <w:bottom w:val="none" w:color="FFFFFF" w:sz="0"/>
              <w:right w:val="none" w:color="FFFFFF" w:sz="0"/>
            </w:tcBorders>
            <w:shd w:fill="003366" w:val="clear"/>
            <w:tcMar>
              <w:top w:type="dxa" w:w="80"/>
              <w:left w:type="dxa" w:w="120"/>
              <w:bottom w:type="dxa" w:w="80"/>
              <w:right w:type="dxa" w:w="120"/>
            </w:tcMar>
            <w:vAlign w:val="center"/>
          </w:tcPr>
          <w:p>
            <w:pPr>
              <w:jc w:val="center"/>
            </w:pPr>
            <w:r>
              <w:rPr>
                <w:rFonts w:ascii="Calibri" w:cs="Calibri" w:eastAsia="Calibri" w:hAnsi="Calibri"/>
                <w:b/>
                <w:bCs/>
                <w:color w:val="FFFFFF"/>
                <w:sz w:val="18"/>
                <w:szCs w:val="18"/>
              </w:rPr>
              <w:t xml:space="preserve">Definition</w:t>
            </w:r>
          </w:p>
        </w:tc>
        <w:tc>
          <w:tcPr>
            <w:tcW w:type="dxa" w:w="7826"/>
            <w:tcBorders>
              <w:top w:val="none" w:color="FFFFFF" w:sz="0"/>
              <w:left w:val="none" w:color="FFFFFF" w:sz="0"/>
              <w:bottom w:val="none" w:color="FFFFFF" w:sz="0"/>
              <w:right w:val="none" w:color="FFFFFF" w:sz="0"/>
            </w:tcBorders>
            <w:shd w:fill="EEF5FB" w:val="clear"/>
            <w:tcMar>
              <w:top w:type="dxa" w:w="80"/>
              <w:left w:type="dxa" w:w="160"/>
              <w:bottom w:type="dxa" w:w="80"/>
              <w:right w:type="dxa" w:w="120"/>
            </w:tcMar>
          </w:tcPr>
          <w:p>
            <w:r>
              <w:rPr>
                <w:rFonts w:ascii="Calibri" w:cs="Calibri" w:eastAsia="Calibri" w:hAnsi="Calibri"/>
                <w:sz w:val="20"/>
                <w:szCs w:val="20"/>
              </w:rPr>
              <w:t xml:space="preserve">Mehrere physische Ports werden zu einem logischen Kanal gebündelt. Für die darüberliegenden Protokolle sieht es wie eine einzige schnelle Verbindung aus.</w:t>
            </w:r>
          </w:p>
        </w:tc>
      </w:tr>
    </w:tbl>
    <w:p>
      <w:pPr>
        <w:spacing w:after="60" w:before="0"/>
      </w:pPr>
      <w:r>
        <w:rPr>
          <w:sz w:val="20"/>
          <w:szCs w:val="20"/>
        </w:rPr>
        <w:t xml:space="preserve"/>
      </w:r>
    </w:p>
    <w:p>
      <w:pPr>
        <w:pStyle w:val="Heading2"/>
        <w:pBdr>
          <w:bottom w:val="single" w:color="0066AA" w:sz="6" w:space="1"/>
        </w:pBdr>
        <w:spacing w:after="80" w:before="200"/>
      </w:pPr>
      <w:r>
        <w:rPr>
          <w:rFonts w:ascii="Calibri" w:cs="Calibri" w:eastAsia="Calibri" w:hAnsi="Calibri"/>
          <w:b/>
          <w:bCs/>
          <w:color w:val="003366"/>
          <w:sz w:val="24"/>
          <w:szCs w:val="24"/>
        </w:rPr>
        <w:t xml:space="preserve">5.1  Vorteile gegenüber einzelner Verbindung</w:t>
      </w:r>
    </w:p>
    <w:p>
      <w:pPr>
        <w:spacing w:after="60" w:before="0"/>
      </w:pPr>
      <w:r>
        <w:rPr>
          <w:sz w:val="20"/>
          <w:szCs w:val="20"/>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0"/>
        <w:gridCol w:w="6226"/>
      </w:tblGrid>
      <w:tr>
        <w:tc>
          <w:tcPr>
            <w:tcW w:type="dxa" w:w="2800"/>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Vorteil</w:t>
            </w:r>
          </w:p>
        </w:tc>
        <w:tc>
          <w:tcPr>
            <w:tcW w:type="dxa" w:w="6226"/>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Erläuterung</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Erhöhte Bandbreite</w:t>
            </w:r>
          </w:p>
        </w:tc>
        <w:tc>
          <w:tcPr>
            <w:tcW w:type="dxa" w:w="62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Die Gesamtbandbreite addiert sich (z. B. 4× 1 GBit/s = 4 GBit/s logisch nutzbar durch Load Balancing)</w:t>
            </w:r>
          </w:p>
        </w:tc>
      </w:tr>
      <w:tr>
        <w:tc>
          <w:tcPr>
            <w:tcW w:type="dxa" w:w="28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Redundanz</w:t>
            </w:r>
          </w:p>
        </w:tc>
        <w:tc>
          <w:tcPr>
            <w:tcW w:type="dxa" w:w="6226"/>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Fällt ein physischer Port aus, übernehmen die verbleibenden Ports automatisch – kein Verbindungsausfall</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Kein STP-Blocking</w:t>
            </w:r>
          </w:p>
        </w:tc>
        <w:tc>
          <w:tcPr>
            <w:tcW w:type="dxa" w:w="62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STP sieht den Portchannel als einen einzigen Link – keine Ports werden geblockt, alle Leitungen werden genutzt</w:t>
            </w:r>
          </w:p>
        </w:tc>
      </w:tr>
      <w:tr>
        <w:tc>
          <w:tcPr>
            <w:tcW w:type="dxa" w:w="28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Einfache Verwaltung</w:t>
            </w:r>
          </w:p>
        </w:tc>
        <w:tc>
          <w:tcPr>
            <w:tcW w:type="dxa" w:w="6226"/>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Ein logisches Interface statt mehrerer physischer Interfaces zu konfigurieren</w:t>
            </w:r>
          </w:p>
        </w:tc>
      </w:tr>
    </w:tbl>
    <w:p>
      <w:pPr>
        <w:spacing w:after="60" w:before="0"/>
      </w:pPr>
      <w:r>
        <w:rPr>
          <w:sz w:val="20"/>
          <w:szCs w:val="20"/>
        </w:rPr>
        <w:t xml:space="preserve"/>
      </w:r>
    </w:p>
    <w:p>
      <w:pPr>
        <w:pStyle w:val="Heading2"/>
        <w:pBdr>
          <w:bottom w:val="single" w:color="0066AA" w:sz="6" w:space="1"/>
        </w:pBdr>
        <w:spacing w:after="80" w:before="200"/>
      </w:pPr>
      <w:r>
        <w:rPr>
          <w:rFonts w:ascii="Calibri" w:cs="Calibri" w:eastAsia="Calibri" w:hAnsi="Calibri"/>
          <w:b/>
          <w:bCs/>
          <w:color w:val="003366"/>
          <w:sz w:val="24"/>
          <w:szCs w:val="24"/>
        </w:rPr>
        <w:t xml:space="preserve">5.2  LACP – Link Aggregation Control Protocol</w:t>
      </w:r>
    </w:p>
    <w:p>
      <w:pPr>
        <w:spacing w:after="60" w:before="0"/>
      </w:pPr>
      <w:r>
        <w:rPr>
          <w:sz w:val="20"/>
          <w:szCs w:val="20"/>
        </w:rPr>
        <w:t xml:space="preserve"/>
      </w:r>
    </w:p>
    <w:p>
      <w:pPr>
        <w:pStyle w:val="ListParagraph"/>
        <w:numPr>
          <w:ilvl w:val="0"/>
          <w:numId w:val="2"/>
        </w:numPr>
        <w:spacing w:after="30" w:before="30"/>
      </w:pPr>
      <w:r>
        <w:rPr>
          <w:rFonts w:ascii="Calibri" w:cs="Calibri" w:eastAsia="Calibri" w:hAnsi="Calibri"/>
          <w:b w:val="false"/>
          <w:bCs w:val="false"/>
          <w:sz w:val="20"/>
          <w:szCs w:val="20"/>
        </w:rPr>
        <w:t xml:space="preserve">LACP (IEEE 802.3ad) ist das standardisierte Protokoll zur automatischen Aushandlung von Link Aggregation</w:t>
      </w:r>
    </w:p>
    <w:p>
      <w:pPr>
        <w:pStyle w:val="ListParagraph"/>
        <w:numPr>
          <w:ilvl w:val="0"/>
          <w:numId w:val="2"/>
        </w:numPr>
        <w:spacing w:after="30" w:before="30"/>
      </w:pPr>
      <w:r>
        <w:rPr>
          <w:rFonts w:ascii="Calibri" w:cs="Calibri" w:eastAsia="Calibri" w:hAnsi="Calibri"/>
          <w:b w:val="false"/>
          <w:bCs w:val="false"/>
          <w:sz w:val="20"/>
          <w:szCs w:val="20"/>
        </w:rPr>
        <w:t xml:space="preserve">Beide Seiten des Links müssen LACP aktiviert haben</w:t>
      </w:r>
    </w:p>
    <w:p>
      <w:pPr>
        <w:pStyle w:val="ListParagraph"/>
        <w:numPr>
          <w:ilvl w:val="0"/>
          <w:numId w:val="2"/>
        </w:numPr>
        <w:spacing w:after="30" w:before="30"/>
      </w:pPr>
      <w:r>
        <w:rPr>
          <w:rFonts w:ascii="Calibri" w:cs="Calibri" w:eastAsia="Calibri" w:hAnsi="Calibri"/>
          <w:b w:val="false"/>
          <w:bCs w:val="false"/>
          <w:sz w:val="20"/>
          <w:szCs w:val="20"/>
        </w:rPr>
        <w:t xml:space="preserve">LACP überwacht die Verbindung und erkennt ausgefallene Links automatisch</w:t>
      </w:r>
    </w:p>
    <w:p>
      <w:pPr>
        <w:pStyle w:val="ListParagraph"/>
        <w:numPr>
          <w:ilvl w:val="0"/>
          <w:numId w:val="2"/>
        </w:numPr>
        <w:spacing w:after="30" w:before="30"/>
      </w:pPr>
      <w:r>
        <w:rPr>
          <w:rFonts w:ascii="Calibri" w:cs="Calibri" w:eastAsia="Calibri" w:hAnsi="Calibri"/>
          <w:b w:val="false"/>
          <w:bCs w:val="false"/>
          <w:sz w:val="20"/>
          <w:szCs w:val="20"/>
        </w:rPr>
        <w:t xml:space="preserve">Alternativ: statische Konfiguration ohne LACP (kein automatisches Failover-Erkennung)</w:t>
      </w:r>
    </w:p>
    <w:p>
      <w:pPr>
        <w:spacing w:after="60" w:before="0"/>
      </w:pPr>
      <w:r>
        <w:rPr>
          <w:sz w:val="20"/>
          <w:szCs w:val="20"/>
        </w:rPr>
        <w:t xml:space="preserve"/>
      </w:r>
    </w:p>
    <w:p>
      <w:pPr>
        <w:pStyle w:val="Heading2"/>
        <w:pBdr>
          <w:bottom w:val="single" w:color="0066AA" w:sz="6" w:space="1"/>
        </w:pBdr>
        <w:spacing w:after="80" w:before="200"/>
      </w:pPr>
      <w:r>
        <w:rPr>
          <w:rFonts w:ascii="Calibri" w:cs="Calibri" w:eastAsia="Calibri" w:hAnsi="Calibri"/>
          <w:b/>
          <w:bCs/>
          <w:color w:val="003366"/>
          <w:sz w:val="24"/>
          <w:szCs w:val="24"/>
        </w:rPr>
        <w:t xml:space="preserve">5.3  Abgrenzung zu STP</w:t>
      </w:r>
    </w:p>
    <w:p>
      <w:pPr>
        <w:spacing w:after="60" w:before="0"/>
      </w:pPr>
      <w:r>
        <w:rPr>
          <w:sz w:val="20"/>
          <w:szCs w:val="20"/>
        </w:rPr>
        <w:t xml:space="preserve"/>
      </w:r>
    </w:p>
    <w:p>
      <w:pPr>
        <w:spacing w:after="40" w:before="40"/>
      </w:pPr>
      <w:r>
        <w:rPr>
          <w:rFonts w:ascii="Calibri" w:cs="Calibri" w:eastAsia="Calibri" w:hAnsi="Calibri"/>
          <w:sz w:val="20"/>
          <w:szCs w:val="20"/>
        </w:rPr>
        <w:t xml:space="preserve">Link Aggregation und STP arbeiten zusammen, nicht gegeneinander:</w:t>
      </w:r>
    </w:p>
    <w:p>
      <w:pPr>
        <w:pStyle w:val="ListParagraph"/>
        <w:numPr>
          <w:ilvl w:val="0"/>
          <w:numId w:val="2"/>
        </w:numPr>
        <w:spacing w:after="30" w:before="30"/>
      </w:pPr>
      <w:r>
        <w:rPr>
          <w:rFonts w:ascii="Calibri" w:cs="Calibri" w:eastAsia="Calibri" w:hAnsi="Calibri"/>
          <w:b w:val="false"/>
          <w:bCs w:val="false"/>
          <w:sz w:val="20"/>
          <w:szCs w:val="20"/>
        </w:rPr>
        <w:t xml:space="preserve">Ohne Link Aggregation: STP blockiert redundante Ports zwischen zwei Switches</w:t>
      </w:r>
    </w:p>
    <w:p>
      <w:pPr>
        <w:pStyle w:val="ListParagraph"/>
        <w:numPr>
          <w:ilvl w:val="0"/>
          <w:numId w:val="2"/>
        </w:numPr>
        <w:spacing w:after="30" w:before="30"/>
      </w:pPr>
      <w:r>
        <w:rPr>
          <w:rFonts w:ascii="Calibri" w:cs="Calibri" w:eastAsia="Calibri" w:hAnsi="Calibri"/>
          <w:b w:val="false"/>
          <w:bCs w:val="false"/>
          <w:sz w:val="20"/>
          <w:szCs w:val="20"/>
        </w:rPr>
        <w:t xml:space="preserve">Mit Link Aggregation: STP sieht nur einen logischen Link → kein Blocking → alle Leitungen aktiv</w:t>
      </w:r>
    </w:p>
    <w:p>
      <w:pPr>
        <w:pStyle w:val="ListParagraph"/>
        <w:numPr>
          <w:ilvl w:val="0"/>
          <w:numId w:val="2"/>
        </w:numPr>
        <w:spacing w:after="30" w:before="30"/>
      </w:pPr>
      <w:r>
        <w:rPr>
          <w:rFonts w:ascii="Calibri" w:cs="Calibri" w:eastAsia="Calibri" w:hAnsi="Calibri"/>
          <w:b w:val="false"/>
          <w:bCs w:val="false"/>
          <w:sz w:val="20"/>
          <w:szCs w:val="20"/>
        </w:rPr>
        <w:t xml:space="preserve">STP läuft weiterhin, um Schleifen zwischen verschiedenen Switches zu verhindern</w:t>
      </w:r>
    </w:p>
    <w:p>
      <w:pPr>
        <w:spacing w:after="60" w:before="0"/>
      </w:pPr>
      <w:r>
        <w:rPr>
          <w:sz w:val="20"/>
          <w:szCs w:val="20"/>
        </w:rPr>
        <w:t xml:space="preserve"/>
      </w:r>
    </w:p>
    <w:p>
      <w:pPr>
        <w:pStyle w:val="Heading1"/>
        <w:shd w:fill="003366" w:val="clear"/>
        <w:spacing w:after="120" w:before="240"/>
        <w:ind w:left="160"/>
      </w:pPr>
      <w:r>
        <w:rPr>
          <w:rFonts w:ascii="Calibri" w:cs="Calibri" w:eastAsia="Calibri" w:hAnsi="Calibri"/>
          <w:b/>
          <w:bCs/>
          <w:color w:val="FFFFFF"/>
          <w:sz w:val="28"/>
          <w:szCs w:val="28"/>
        </w:rPr>
        <w:t xml:space="preserve">6  Inter-VLAN-Routing: Router-on-a-Stick &amp; Subinterfaces</w:t>
      </w:r>
    </w:p>
    <w:p>
      <w:pPr>
        <w:spacing w:after="60" w:before="0"/>
      </w:pPr>
      <w:r>
        <w:rPr>
          <w:sz w:val="20"/>
          <w:szCs w:val="20"/>
        </w:rPr>
        <w:t xml:space="preserve"/>
      </w:r>
    </w:p>
    <w:p>
      <w:pPr>
        <w:spacing w:after="40" w:before="40"/>
      </w:pPr>
      <w:r>
        <w:rPr>
          <w:rFonts w:ascii="Calibri" w:cs="Calibri" w:eastAsia="Calibri" w:hAnsi="Calibri"/>
          <w:sz w:val="20"/>
          <w:szCs w:val="20"/>
        </w:rPr>
        <w:t xml:space="preserve">Geräte in verschiedenen VLANs können nicht direkt miteinander kommunizieren – dafür ist Layer-3-Routing nötig. Es gibt zwei Ansätze:</w:t>
      </w:r>
    </w:p>
    <w:p>
      <w:pPr>
        <w:spacing w:after="60" w:before="0"/>
      </w:pPr>
      <w:r>
        <w:rPr>
          <w:sz w:val="20"/>
          <w:szCs w:val="20"/>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3000"/>
        <w:gridCol w:w="2000"/>
        <w:gridCol w:w="2026"/>
      </w:tblGrid>
      <w:tr>
        <w:tc>
          <w:tcPr>
            <w:tcW w:type="dxa" w:w="2000"/>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Ansatz</w:t>
            </w:r>
          </w:p>
        </w:tc>
        <w:tc>
          <w:tcPr>
            <w:tcW w:type="dxa" w:w="3000"/>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Beschreibung</w:t>
            </w:r>
          </w:p>
        </w:tc>
        <w:tc>
          <w:tcPr>
            <w:tcW w:type="dxa" w:w="2000"/>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Vorteil</w:t>
            </w:r>
          </w:p>
        </w:tc>
        <w:tc>
          <w:tcPr>
            <w:tcW w:type="dxa" w:w="2026"/>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Nachteil</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Router-on-a-Stick</w:t>
            </w:r>
          </w:p>
        </w:tc>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Ein physischer Router-Port als Trunk-Verbindung zum Switch. Für jedes VLAN ein logisches Subinterface.</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Kostengünstig, ein physischer Port</w:t>
            </w:r>
          </w:p>
        </w:tc>
        <w:tc>
          <w:tcPr>
            <w:tcW w:type="dxa" w:w="2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Bandbreitenengpass bei viel Traffic</w:t>
            </w:r>
          </w:p>
        </w:tc>
      </w:tr>
      <w:tr>
        <w:tc>
          <w:tcPr>
            <w:tcW w:type="dxa" w:w="20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Layer-3-Switch (MLS)</w:t>
            </w:r>
          </w:p>
        </w:tc>
        <w:tc>
          <w:tcPr>
            <w:tcW w:type="dxa" w:w="30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Switch mit integrierten Routing-Funktionen. Jedes VLAN erhält ein SVI (Switched Virtual Interface).</w:t>
            </w:r>
          </w:p>
        </w:tc>
        <w:tc>
          <w:tcPr>
            <w:tcW w:type="dxa" w:w="20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Hohe Performance, kein externer Router nötig</w:t>
            </w:r>
          </w:p>
        </w:tc>
        <w:tc>
          <w:tcPr>
            <w:tcW w:type="dxa" w:w="2026"/>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Höhere Anschaffungskosten</w:t>
            </w:r>
          </w:p>
        </w:tc>
      </w:tr>
    </w:tbl>
    <w:p>
      <w:pPr>
        <w:spacing w:after="60" w:before="0"/>
      </w:pPr>
      <w:r>
        <w:rPr>
          <w:sz w:val="20"/>
          <w:szCs w:val="20"/>
        </w:rPr>
        <w:t xml:space="preserve"/>
      </w:r>
    </w:p>
    <w:p>
      <w:pPr>
        <w:pStyle w:val="Heading2"/>
        <w:pBdr>
          <w:bottom w:val="single" w:color="0066AA" w:sz="6" w:space="1"/>
        </w:pBdr>
        <w:spacing w:after="80" w:before="200"/>
      </w:pPr>
      <w:r>
        <w:rPr>
          <w:rFonts w:ascii="Calibri" w:cs="Calibri" w:eastAsia="Calibri" w:hAnsi="Calibri"/>
          <w:b/>
          <w:bCs/>
          <w:color w:val="003366"/>
          <w:sz w:val="24"/>
          <w:szCs w:val="24"/>
        </w:rPr>
        <w:t xml:space="preserve">6.1  Subinterfaces</w:t>
      </w:r>
    </w:p>
    <w:p>
      <w:pPr>
        <w:spacing w:after="60" w:before="0"/>
      </w:pPr>
      <w:r>
        <w:rPr>
          <w:sz w:val="20"/>
          <w:szCs w:val="20"/>
        </w:rPr>
        <w:t xml:space="preserve"/>
      </w:r>
    </w:p>
    <w:tbl>
      <w:tblPr>
        <w:tblW w:type="dxa" w:w="9026"/>
        <w:tblBorders>
          <w:top w:val="single" w:color="0066AA" w:sz="4"/>
          <w:left w:val="single" w:color="0066AA" w:sz="4"/>
          <w:bottom w:val="single" w:color="0066AA" w:sz="4"/>
          <w:right w:val="single" w:color="0066AA" w:sz="4"/>
          <w:insideH w:val="single" w:color="auto" w:sz="4"/>
          <w:insideV w:val="single" w:color="auto" w:sz="4"/>
        </w:tblBorders>
      </w:tblPr>
      <w:tblGrid>
        <w:gridCol w:w="1200"/>
        <w:gridCol w:w="7826"/>
      </w:tblGrid>
      <w:tr>
        <w:tc>
          <w:tcPr>
            <w:tcW w:type="dxa" w:w="1200"/>
            <w:tcBorders>
              <w:top w:val="none" w:color="FFFFFF" w:sz="0"/>
              <w:left w:val="none" w:color="FFFFFF" w:sz="0"/>
              <w:bottom w:val="none" w:color="FFFFFF" w:sz="0"/>
              <w:right w:val="none" w:color="FFFFFF" w:sz="0"/>
            </w:tcBorders>
            <w:shd w:fill="003366" w:val="clear"/>
            <w:tcMar>
              <w:top w:type="dxa" w:w="80"/>
              <w:left w:type="dxa" w:w="120"/>
              <w:bottom w:type="dxa" w:w="80"/>
              <w:right w:type="dxa" w:w="120"/>
            </w:tcMar>
            <w:vAlign w:val="center"/>
          </w:tcPr>
          <w:p>
            <w:pPr>
              <w:jc w:val="center"/>
            </w:pPr>
            <w:r>
              <w:rPr>
                <w:rFonts w:ascii="Calibri" w:cs="Calibri" w:eastAsia="Calibri" w:hAnsi="Calibri"/>
                <w:b/>
                <w:bCs/>
                <w:color w:val="FFFFFF"/>
                <w:sz w:val="18"/>
                <w:szCs w:val="18"/>
              </w:rPr>
              <w:t xml:space="preserve">Was ist ein Subinterface?</w:t>
            </w:r>
          </w:p>
        </w:tc>
        <w:tc>
          <w:tcPr>
            <w:tcW w:type="dxa" w:w="7826"/>
            <w:tcBorders>
              <w:top w:val="none" w:color="FFFFFF" w:sz="0"/>
              <w:left w:val="none" w:color="FFFFFF" w:sz="0"/>
              <w:bottom w:val="none" w:color="FFFFFF" w:sz="0"/>
              <w:right w:val="none" w:color="FFFFFF" w:sz="0"/>
            </w:tcBorders>
            <w:shd w:fill="EEF5FB" w:val="clear"/>
            <w:tcMar>
              <w:top w:type="dxa" w:w="80"/>
              <w:left w:type="dxa" w:w="160"/>
              <w:bottom w:type="dxa" w:w="80"/>
              <w:right w:type="dxa" w:w="120"/>
            </w:tcMar>
          </w:tcPr>
          <w:p>
            <w:r>
              <w:rPr>
                <w:rFonts w:ascii="Calibri" w:cs="Calibri" w:eastAsia="Calibri" w:hAnsi="Calibri"/>
                <w:sz w:val="20"/>
                <w:szCs w:val="20"/>
              </w:rPr>
              <w:t xml:space="preserve">Ein logisches Interface, das auf einem physischen Interface aufgesetzt wird. Syntax: eth1.11 bedeutet Subinterface 11 auf Interface eth1, zugeordnet zu VLAN 11. Der physische Port wird als Trunk konfiguriert und trägt den 802.1Q-Tag für jedes Subinterface.</w:t>
            </w:r>
          </w:p>
        </w:tc>
      </w:tr>
    </w:tbl>
    <w:p>
      <w:pPr>
        <w:spacing w:after="60" w:before="0"/>
      </w:pPr>
      <w:r>
        <w:rPr>
          <w:sz w:val="20"/>
          <w:szCs w:val="20"/>
        </w:rPr>
        <w:t xml:space="preserve"/>
      </w:r>
    </w:p>
    <w:p>
      <w:pPr>
        <w:spacing w:after="40" w:before="40"/>
      </w:pPr>
      <w:r>
        <w:rPr>
          <w:rFonts w:ascii="Calibri" w:cs="Calibri" w:eastAsia="Calibri" w:hAnsi="Calibri"/>
          <w:sz w:val="20"/>
          <w:szCs w:val="20"/>
        </w:rPr>
        <w:t xml:space="preserve">Typische Konfiguration (Prüfungsszenario IHK-Wear Sommer 2025):</w:t>
      </w:r>
    </w:p>
    <w:p>
      <w:pPr>
        <w:pStyle w:val="ListParagraph"/>
        <w:numPr>
          <w:ilvl w:val="0"/>
          <w:numId w:val="2"/>
        </w:numPr>
        <w:spacing w:after="30" w:before="30"/>
      </w:pPr>
      <w:r>
        <w:rPr>
          <w:rFonts w:ascii="Calibri" w:cs="Calibri" w:eastAsia="Calibri" w:hAnsi="Calibri"/>
          <w:b w:val="false"/>
          <w:bCs w:val="false"/>
          <w:sz w:val="20"/>
          <w:szCs w:val="20"/>
        </w:rPr>
        <w:t xml:space="preserve">eth1.11 → VLAN 11 (Technik), Gateway: letzte IP des Subnetzes</w:t>
      </w:r>
    </w:p>
    <w:p>
      <w:pPr>
        <w:pStyle w:val="ListParagraph"/>
        <w:numPr>
          <w:ilvl w:val="0"/>
          <w:numId w:val="2"/>
        </w:numPr>
        <w:spacing w:after="30" w:before="30"/>
      </w:pPr>
      <w:r>
        <w:rPr>
          <w:rFonts w:ascii="Calibri" w:cs="Calibri" w:eastAsia="Calibri" w:hAnsi="Calibri"/>
          <w:b w:val="false"/>
          <w:bCs w:val="false"/>
          <w:sz w:val="20"/>
          <w:szCs w:val="20"/>
        </w:rPr>
        <w:t xml:space="preserve">eth1.12 → VLAN 12 (Vertrieb), Gateway: letzte IP des Subnetzes</w:t>
      </w:r>
    </w:p>
    <w:p>
      <w:pPr>
        <w:pStyle w:val="ListParagraph"/>
        <w:numPr>
          <w:ilvl w:val="0"/>
          <w:numId w:val="2"/>
        </w:numPr>
        <w:spacing w:after="30" w:before="30"/>
      </w:pPr>
      <w:r>
        <w:rPr>
          <w:rFonts w:ascii="Calibri" w:cs="Calibri" w:eastAsia="Calibri" w:hAnsi="Calibri"/>
          <w:b w:val="false"/>
          <w:bCs w:val="false"/>
          <w:sz w:val="20"/>
          <w:szCs w:val="20"/>
        </w:rPr>
        <w:t xml:space="preserve">eth1.66 → VLAN 66 (Management), Gateway: letzte IP des Subnetzes</w:t>
      </w:r>
    </w:p>
    <w:p>
      <w:pPr>
        <w:pStyle w:val="ListParagraph"/>
        <w:numPr>
          <w:ilvl w:val="0"/>
          <w:numId w:val="2"/>
        </w:numPr>
        <w:spacing w:after="30" w:before="30"/>
      </w:pPr>
      <w:r>
        <w:rPr>
          <w:rFonts w:ascii="Calibri" w:cs="Calibri" w:eastAsia="Calibri" w:hAnsi="Calibri"/>
          <w:b w:val="false"/>
          <w:bCs w:val="false"/>
          <w:sz w:val="20"/>
          <w:szCs w:val="20"/>
        </w:rPr>
        <w:t xml:space="preserve">eth0 → WAN-Interface Richtung Internet</w:t>
      </w:r>
    </w:p>
    <w:p>
      <w:pPr>
        <w:spacing w:after="60" w:before="0"/>
      </w:pPr>
      <w:r>
        <w:rPr>
          <w:sz w:val="20"/>
          <w:szCs w:val="20"/>
        </w:rPr>
        <w:t xml:space="preserve"/>
      </w:r>
    </w:p>
    <w:p>
      <w:pPr>
        <w:spacing w:after="40" w:before="40"/>
      </w:pPr>
      <w:r>
        <w:rPr>
          <w:rFonts w:ascii="Calibri" w:cs="Calibri" w:eastAsia="Calibri" w:hAnsi="Calibri"/>
          <w:sz w:val="20"/>
          <w:szCs w:val="20"/>
        </w:rPr>
        <w:t xml:space="preserve">Warum Subinterfaces? Ein einzelner Router-Port kann so Traffic aus mehreren VLANs routen, ohne dass für jedes VLAN ein eigener physischer Port benötigt wird.</w:t>
      </w:r>
    </w:p>
    <w:p>
      <w:pPr>
        <w:spacing w:after="60" w:before="0"/>
      </w:pPr>
      <w:r>
        <w:rPr>
          <w:sz w:val="20"/>
          <w:szCs w:val="20"/>
        </w:rPr>
        <w:t xml:space="preserve"/>
      </w:r>
    </w:p>
    <w:p>
      <w:r>
        <w:br w:type="page"/>
      </w:r>
    </w:p>
    <w:p>
      <w:pPr>
        <w:pStyle w:val="Heading1"/>
        <w:shd w:fill="003366" w:val="clear"/>
        <w:spacing w:after="120" w:before="240"/>
        <w:ind w:left="160"/>
      </w:pPr>
      <w:r>
        <w:rPr>
          <w:rFonts w:ascii="Calibri" w:cs="Calibri" w:eastAsia="Calibri" w:hAnsi="Calibri"/>
          <w:b/>
          <w:bCs/>
          <w:color w:val="FFFFFF"/>
          <w:sz w:val="28"/>
          <w:szCs w:val="28"/>
        </w:rPr>
        <w:t xml:space="preserve">7  Switch-Administration und Absicherung</w:t>
      </w:r>
    </w:p>
    <w:p>
      <w:pPr>
        <w:spacing w:after="60" w:before="0"/>
      </w:pPr>
      <w:r>
        <w:rPr>
          <w:sz w:val="20"/>
          <w:szCs w:val="20"/>
        </w:rPr>
        <w:t xml:space="preserve"/>
      </w:r>
    </w:p>
    <w:p>
      <w:pPr>
        <w:spacing w:after="40" w:before="40"/>
      </w:pPr>
      <w:r>
        <w:rPr>
          <w:rFonts w:ascii="Calibri" w:cs="Calibri" w:eastAsia="Calibri" w:hAnsi="Calibri"/>
          <w:sz w:val="20"/>
          <w:szCs w:val="20"/>
        </w:rPr>
        <w:t xml:space="preserve">Nach dem Einbau eines Switches muss der Fernzugriff für die Administration sicher konfiguriert werden. Typische Prüfungsfrage: 'Nennen Sie vier Einstellungen.'</w:t>
      </w:r>
    </w:p>
    <w:p>
      <w:pPr>
        <w:spacing w:after="60" w:before="0"/>
      </w:pPr>
      <w:r>
        <w:rPr>
          <w:sz w:val="20"/>
          <w:szCs w:val="20"/>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Maßnahme</w:t>
            </w:r>
          </w:p>
        </w:tc>
        <w:tc>
          <w:tcPr>
            <w:tcW w:type="dxa" w:w="6026"/>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Erläuterung</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Management-IP konfigurieren</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Dem Switch eine IP-Adresse auf dem Management-VLAN zuweisen, damit er über das Netz erreichbar ist</w:t>
            </w:r>
          </w:p>
        </w:tc>
      </w:tr>
      <w:tr>
        <w:tc>
          <w:tcPr>
            <w:tcW w:type="dxa" w:w="30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SSH statt Telnet</w:t>
            </w:r>
          </w:p>
        </w:tc>
        <w:tc>
          <w:tcPr>
            <w:tcW w:type="dxa" w:w="6026"/>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Telnet überträgt Daten unverschlüsselt. SSH verschlüsselt die gesamte Verbindung</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Starkes Passwort</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Passwort für den privilegierten Modus (enable) und die Konsolenzugang setzen</w:t>
            </w:r>
          </w:p>
        </w:tc>
      </w:tr>
      <w:tr>
        <w:tc>
          <w:tcPr>
            <w:tcW w:type="dxa" w:w="30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Zugriffssteuerung (ACL)</w:t>
            </w:r>
          </w:p>
        </w:tc>
        <w:tc>
          <w:tcPr>
            <w:tcW w:type="dxa" w:w="6026"/>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Nur bestimmte IP-Adressen (z. B. Admin-PC) dürfen auf den Switch zugreifen</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Unnötige Dienste deaktivieren</w:t>
            </w:r>
          </w:p>
        </w:tc>
        <w:tc>
          <w:tcPr>
            <w:tcW w:type="dxa" w:w="60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HTTP-Server, Telnet, CDP auf Außenports abschalten</w:t>
            </w:r>
          </w:p>
        </w:tc>
      </w:tr>
      <w:tr>
        <w:tc>
          <w:tcPr>
            <w:tcW w:type="dxa" w:w="30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Unused Ports deaktivieren</w:t>
            </w:r>
          </w:p>
        </w:tc>
        <w:tc>
          <w:tcPr>
            <w:tcW w:type="dxa" w:w="6026"/>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Ungenutzte Ports administrativ sperren, damit keine unautorisierten Geräte angeschlossen werden können</w:t>
            </w:r>
          </w:p>
        </w:tc>
      </w:tr>
    </w:tbl>
    <w:p>
      <w:pPr>
        <w:spacing w:after="60" w:before="0"/>
      </w:pPr>
      <w:r>
        <w:rPr>
          <w:sz w:val="20"/>
          <w:szCs w:val="20"/>
        </w:rPr>
        <w:t xml:space="preserve"/>
      </w:r>
    </w:p>
    <w:p>
      <w:pPr>
        <w:pStyle w:val="Heading1"/>
        <w:shd w:fill="003366" w:val="clear"/>
        <w:spacing w:after="120" w:before="240"/>
        <w:ind w:left="160"/>
      </w:pPr>
      <w:r>
        <w:rPr>
          <w:rFonts w:ascii="Calibri" w:cs="Calibri" w:eastAsia="Calibri" w:hAnsi="Calibri"/>
          <w:b/>
          <w:bCs/>
          <w:color w:val="FFFFFF"/>
          <w:sz w:val="28"/>
          <w:szCs w:val="28"/>
        </w:rPr>
        <w:t xml:space="preserve">8  Prüfungsrelevante Szenarien &amp; typische Fragestellungen</w:t>
      </w:r>
    </w:p>
    <w:p>
      <w:pPr>
        <w:spacing w:after="60" w:before="0"/>
      </w:pPr>
      <w:r>
        <w:rPr>
          <w:sz w:val="20"/>
          <w:szCs w:val="20"/>
        </w:rPr>
        <w:t xml:space="preserve"/>
      </w:r>
    </w:p>
    <w:p>
      <w:pPr>
        <w:pStyle w:val="Heading2"/>
        <w:pBdr>
          <w:bottom w:val="single" w:color="0066AA" w:sz="6" w:space="1"/>
        </w:pBdr>
        <w:spacing w:after="80" w:before="200"/>
      </w:pPr>
      <w:r>
        <w:rPr>
          <w:rFonts w:ascii="Calibri" w:cs="Calibri" w:eastAsia="Calibri" w:hAnsi="Calibri"/>
          <w:b/>
          <w:bCs/>
          <w:color w:val="003366"/>
          <w:sz w:val="24"/>
          <w:szCs w:val="24"/>
        </w:rPr>
        <w:t xml:space="preserve">8.1  Typische AP2-Aufgabenformate</w:t>
      </w:r>
    </w:p>
    <w:p>
      <w:pPr>
        <w:spacing w:after="60" w:before="0"/>
      </w:pPr>
      <w:r>
        <w:rPr>
          <w:sz w:val="20"/>
          <w:szCs w:val="20"/>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3200"/>
        <w:gridCol w:w="2826"/>
      </w:tblGrid>
      <w:tr>
        <w:tc>
          <w:tcPr>
            <w:tcW w:type="dxa" w:w="3000"/>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Aufgabentyp</w:t>
            </w:r>
          </w:p>
        </w:tc>
        <w:tc>
          <w:tcPr>
            <w:tcW w:type="dxa" w:w="3200"/>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Erwartete Antwort</w:t>
            </w:r>
          </w:p>
        </w:tc>
        <w:tc>
          <w:tcPr>
            <w:tcW w:type="dxa" w:w="2826"/>
            <w:tcBorders>
              <w:top w:val="single" w:color="CCCCCC" w:sz="1"/>
              <w:left w:val="single" w:color="CCCCCC" w:sz="1"/>
              <w:bottom w:val="single" w:color="CCCCCC" w:sz="1"/>
              <w:right w:val="single" w:color="CCCCCC" w:sz="1"/>
            </w:tcBorders>
            <w:shd w:fill="003366" w:val="clear"/>
            <w:tcMar>
              <w:top w:type="dxa" w:w="80"/>
              <w:left w:type="dxa" w:w="120"/>
              <w:bottom w:type="dxa" w:w="80"/>
              <w:right w:type="dxa" w:w="120"/>
            </w:tcMar>
          </w:tcPr>
          <w:p>
            <w:r>
              <w:rPr>
                <w:rFonts w:ascii="Calibri" w:cs="Calibri" w:eastAsia="Calibri" w:hAnsi="Calibri"/>
                <w:b/>
                <w:bCs/>
                <w:color w:val="FFFFFF"/>
                <w:sz w:val="20"/>
                <w:szCs w:val="20"/>
              </w:rPr>
              <w:t xml:space="preserve">IHK-Beispiel</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Warum ist ein Port geblockt?</w:t>
            </w:r>
          </w:p>
        </w:tc>
        <w:tc>
          <w:tcPr>
            <w:tcW w:type="dxa" w:w="3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STP blockiert redundante Ports um Schleifen zu verhindern</w:t>
            </w:r>
          </w:p>
        </w:tc>
        <w:tc>
          <w:tcPr>
            <w:tcW w:type="dxa" w:w="2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Sommer 2025: MLS1→MLS2</w:t>
            </w:r>
          </w:p>
        </w:tc>
      </w:tr>
      <w:tr>
        <w:tc>
          <w:tcPr>
            <w:tcW w:type="dxa" w:w="30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Was ist ein Native VLAN?</w:t>
            </w:r>
          </w:p>
        </w:tc>
        <w:tc>
          <w:tcPr>
            <w:tcW w:type="dxa" w:w="32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VLAN für ungetaggten Traffic auf Trunk-Ports</w:t>
            </w:r>
          </w:p>
        </w:tc>
        <w:tc>
          <w:tcPr>
            <w:tcW w:type="dxa" w:w="2826"/>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Winter 2024/25: IHK-Med AG</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Warum Native VLAN ≠ VLAN 1?</w:t>
            </w:r>
          </w:p>
        </w:tc>
        <w:tc>
          <w:tcPr>
            <w:tcW w:type="dxa" w:w="3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Sicherheit: VLAN-Hopping-Schutz</w:t>
            </w:r>
          </w:p>
        </w:tc>
        <w:tc>
          <w:tcPr>
            <w:tcW w:type="dxa" w:w="2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Winter 2024/25: 2 Punkte</w:t>
            </w:r>
          </w:p>
        </w:tc>
      </w:tr>
      <w:tr>
        <w:tc>
          <w:tcPr>
            <w:tcW w:type="dxa" w:w="30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Was bewirkt 802.1Q-Tagging am Port?</w:t>
            </w:r>
          </w:p>
        </w:tc>
        <w:tc>
          <w:tcPr>
            <w:tcW w:type="dxa" w:w="32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Eingehend: Tag wird hinzugefügt. Ausgehend: Tag wird entfernt/beibehalten</w:t>
            </w:r>
          </w:p>
        </w:tc>
        <w:tc>
          <w:tcPr>
            <w:tcW w:type="dxa" w:w="2826"/>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Winter 2024/25: 3 Punkte</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Welche Ports müssen getaggt sein?</w:t>
            </w:r>
          </w:p>
        </w:tc>
        <w:tc>
          <w:tcPr>
            <w:tcW w:type="dxa" w:w="3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Alle Uplinks zwischen Switches (Trunk-Ports)</w:t>
            </w:r>
          </w:p>
        </w:tc>
        <w:tc>
          <w:tcPr>
            <w:tcW w:type="dxa" w:w="2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Winter 2024/25: Core-Switch</w:t>
            </w:r>
          </w:p>
        </w:tc>
      </w:tr>
      <w:tr>
        <w:tc>
          <w:tcPr>
            <w:tcW w:type="dxa" w:w="30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Vorteile Link Aggregation</w:t>
            </w:r>
          </w:p>
        </w:tc>
        <w:tc>
          <w:tcPr>
            <w:tcW w:type="dxa" w:w="3200"/>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Bandbreite + Redundanz + kein STP-Blocking</w:t>
            </w:r>
          </w:p>
        </w:tc>
        <w:tc>
          <w:tcPr>
            <w:tcW w:type="dxa" w:w="2826"/>
            <w:tcBorders>
              <w:top w:val="single" w:color="CCCCCC" w:sz="1"/>
              <w:left w:val="single" w:color="CCCCCC" w:sz="1"/>
              <w:bottom w:val="single" w:color="CCCCCC" w:sz="1"/>
              <w:right w:val="single" w:color="CCCCCC" w:sz="1"/>
            </w:tcBorders>
            <w:shd w:fill="EEF5FB" w:val="clear"/>
            <w:tcMar>
              <w:top w:type="dxa" w:w="80"/>
              <w:left w:type="dxa" w:w="120"/>
              <w:bottom w:type="dxa" w:w="80"/>
              <w:right w:type="dxa" w:w="120"/>
            </w:tcMar>
          </w:tcPr>
          <w:p>
            <w:r>
              <w:rPr>
                <w:rFonts w:ascii="Calibri" w:cs="Calibri" w:eastAsia="Calibri" w:hAnsi="Calibri"/>
                <w:sz w:val="20"/>
                <w:szCs w:val="20"/>
              </w:rPr>
              <w:t xml:space="preserve">Sommer 2025: 4 Punkte</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Was ist ein Subinterface?</w:t>
            </w:r>
          </w:p>
        </w:tc>
        <w:tc>
          <w:tcPr>
            <w:tcW w:type="dxa" w:w="3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Logisches Interface auf einem physischen Port für VLAN-Routing</w:t>
            </w:r>
          </w:p>
        </w:tc>
        <w:tc>
          <w:tcPr>
            <w:tcW w:type="dxa" w:w="28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Calibri" w:cs="Calibri" w:eastAsia="Calibri" w:hAnsi="Calibri"/>
                <w:sz w:val="20"/>
                <w:szCs w:val="20"/>
              </w:rPr>
              <w:t xml:space="preserve">Sommer 2025: 4 Punkte</w:t>
            </w:r>
          </w:p>
        </w:tc>
      </w:tr>
    </w:tbl>
    <w:p>
      <w:pPr>
        <w:spacing w:after="60" w:before="0"/>
      </w:pPr>
      <w:r>
        <w:rPr>
          <w:sz w:val="20"/>
          <w:szCs w:val="20"/>
        </w:rPr>
        <w:t xml:space="preserve"/>
      </w:r>
    </w:p>
    <w:p>
      <w:pPr>
        <w:pStyle w:val="Heading2"/>
        <w:pBdr>
          <w:bottom w:val="single" w:color="0066AA" w:sz="6" w:space="1"/>
        </w:pBdr>
        <w:spacing w:after="80" w:before="200"/>
      </w:pPr>
      <w:r>
        <w:rPr>
          <w:rFonts w:ascii="Calibri" w:cs="Calibri" w:eastAsia="Calibri" w:hAnsi="Calibri"/>
          <w:b/>
          <w:bCs/>
          <w:color w:val="003366"/>
          <w:sz w:val="24"/>
          <w:szCs w:val="24"/>
        </w:rPr>
        <w:t xml:space="preserve">8.2  Merksätze für die Prüfung</w:t>
      </w:r>
    </w:p>
    <w:p>
      <w:pPr>
        <w:spacing w:after="60" w:before="0"/>
      </w:pPr>
      <w:r>
        <w:rPr>
          <w:sz w:val="20"/>
          <w:szCs w:val="20"/>
        </w:rPr>
        <w:t xml:space="preserve"/>
      </w:r>
    </w:p>
    <w:tbl>
      <w:tblPr>
        <w:tblW w:type="dxa" w:w="9026"/>
        <w:tblBorders>
          <w:top w:val="single" w:color="0066AA" w:sz="4"/>
          <w:left w:val="single" w:color="0066AA" w:sz="4"/>
          <w:bottom w:val="single" w:color="0066AA" w:sz="4"/>
          <w:right w:val="single" w:color="0066AA" w:sz="4"/>
          <w:insideH w:val="single" w:color="auto" w:sz="4"/>
          <w:insideV w:val="single" w:color="auto" w:sz="4"/>
        </w:tblBorders>
      </w:tblPr>
      <w:tblGrid>
        <w:gridCol w:w="1200"/>
        <w:gridCol w:w="7826"/>
      </w:tblGrid>
      <w:tr>
        <w:tc>
          <w:tcPr>
            <w:tcW w:type="dxa" w:w="1200"/>
            <w:tcBorders>
              <w:top w:val="none" w:color="FFFFFF" w:sz="0"/>
              <w:left w:val="none" w:color="FFFFFF" w:sz="0"/>
              <w:bottom w:val="none" w:color="FFFFFF" w:sz="0"/>
              <w:right w:val="none" w:color="FFFFFF" w:sz="0"/>
            </w:tcBorders>
            <w:shd w:fill="003366" w:val="clear"/>
            <w:tcMar>
              <w:top w:type="dxa" w:w="80"/>
              <w:left w:type="dxa" w:w="120"/>
              <w:bottom w:type="dxa" w:w="80"/>
              <w:right w:type="dxa" w:w="120"/>
            </w:tcMar>
            <w:vAlign w:val="center"/>
          </w:tcPr>
          <w:p>
            <w:pPr>
              <w:jc w:val="center"/>
            </w:pPr>
            <w:r>
              <w:rPr>
                <w:rFonts w:ascii="Calibri" w:cs="Calibri" w:eastAsia="Calibri" w:hAnsi="Calibri"/>
                <w:b/>
                <w:bCs/>
                <w:color w:val="FFFFFF"/>
                <w:sz w:val="18"/>
                <w:szCs w:val="18"/>
              </w:rPr>
              <w:t xml:space="preserve">Native VLAN</w:t>
            </w:r>
          </w:p>
        </w:tc>
        <w:tc>
          <w:tcPr>
            <w:tcW w:type="dxa" w:w="7826"/>
            <w:tcBorders>
              <w:top w:val="none" w:color="FFFFFF" w:sz="0"/>
              <w:left w:val="none" w:color="FFFFFF" w:sz="0"/>
              <w:bottom w:val="none" w:color="FFFFFF" w:sz="0"/>
              <w:right w:val="none" w:color="FFFFFF" w:sz="0"/>
            </w:tcBorders>
            <w:shd w:fill="EEF5FB" w:val="clear"/>
            <w:tcMar>
              <w:top w:type="dxa" w:w="80"/>
              <w:left w:type="dxa" w:w="160"/>
              <w:bottom w:type="dxa" w:w="80"/>
              <w:right w:type="dxa" w:w="120"/>
            </w:tcMar>
          </w:tcPr>
          <w:p>
            <w:r>
              <w:rPr>
                <w:rFonts w:ascii="Calibri" w:cs="Calibri" w:eastAsia="Calibri" w:hAnsi="Calibri"/>
                <w:sz w:val="20"/>
                <w:szCs w:val="20"/>
              </w:rPr>
              <w:t xml:space="preserve">Ungetaggter Traffic auf einem Trunk → immer das Native VLAN. Standard ist VLAN 1 – aus Sicherheitsgründen auf ein ungenutztes VLAN ändern (VLAN-Hopping)!</w:t>
            </w:r>
          </w:p>
        </w:tc>
      </w:tr>
    </w:tbl>
    <w:p>
      <w:pPr>
        <w:spacing w:after="60" w:before="0"/>
      </w:pPr>
      <w:r>
        <w:rPr>
          <w:sz w:val="20"/>
          <w:szCs w:val="20"/>
        </w:rPr>
        <w:t xml:space="preserve"/>
      </w:r>
    </w:p>
    <w:tbl>
      <w:tblPr>
        <w:tblW w:type="dxa" w:w="9026"/>
        <w:tblBorders>
          <w:top w:val="single" w:color="0066AA" w:sz="4"/>
          <w:left w:val="single" w:color="0066AA" w:sz="4"/>
          <w:bottom w:val="single" w:color="0066AA" w:sz="4"/>
          <w:right w:val="single" w:color="0066AA" w:sz="4"/>
          <w:insideH w:val="single" w:color="auto" w:sz="4"/>
          <w:insideV w:val="single" w:color="auto" w:sz="4"/>
        </w:tblBorders>
      </w:tblPr>
      <w:tblGrid>
        <w:gridCol w:w="1200"/>
        <w:gridCol w:w="7826"/>
      </w:tblGrid>
      <w:tr>
        <w:tc>
          <w:tcPr>
            <w:tcW w:type="dxa" w:w="1200"/>
            <w:tcBorders>
              <w:top w:val="none" w:color="FFFFFF" w:sz="0"/>
              <w:left w:val="none" w:color="FFFFFF" w:sz="0"/>
              <w:bottom w:val="none" w:color="FFFFFF" w:sz="0"/>
              <w:right w:val="none" w:color="FFFFFF" w:sz="0"/>
            </w:tcBorders>
            <w:shd w:fill="003366" w:val="clear"/>
            <w:tcMar>
              <w:top w:type="dxa" w:w="80"/>
              <w:left w:type="dxa" w:w="120"/>
              <w:bottom w:type="dxa" w:w="80"/>
              <w:right w:type="dxa" w:w="120"/>
            </w:tcMar>
            <w:vAlign w:val="center"/>
          </w:tcPr>
          <w:p>
            <w:pPr>
              <w:jc w:val="center"/>
            </w:pPr>
            <w:r>
              <w:rPr>
                <w:rFonts w:ascii="Calibri" w:cs="Calibri" w:eastAsia="Calibri" w:hAnsi="Calibri"/>
                <w:b/>
                <w:bCs/>
                <w:color w:val="FFFFFF"/>
                <w:sz w:val="18"/>
                <w:szCs w:val="18"/>
              </w:rPr>
              <w:t xml:space="preserve">STP Blocking</w:t>
            </w:r>
          </w:p>
        </w:tc>
        <w:tc>
          <w:tcPr>
            <w:tcW w:type="dxa" w:w="7826"/>
            <w:tcBorders>
              <w:top w:val="none" w:color="FFFFFF" w:sz="0"/>
              <w:left w:val="none" w:color="FFFFFF" w:sz="0"/>
              <w:bottom w:val="none" w:color="FFFFFF" w:sz="0"/>
              <w:right w:val="none" w:color="FFFFFF" w:sz="0"/>
            </w:tcBorders>
            <w:shd w:fill="EEF5FB" w:val="clear"/>
            <w:tcMar>
              <w:top w:type="dxa" w:w="80"/>
              <w:left w:type="dxa" w:w="160"/>
              <w:bottom w:type="dxa" w:w="80"/>
              <w:right w:type="dxa" w:w="120"/>
            </w:tcMar>
          </w:tcPr>
          <w:p>
            <w:r>
              <w:rPr>
                <w:rFonts w:ascii="Calibri" w:cs="Calibri" w:eastAsia="Calibri" w:hAnsi="Calibri"/>
                <w:sz w:val="20"/>
                <w:szCs w:val="20"/>
              </w:rPr>
              <w:t xml:space="preserve">Ein geblockt er Port ist kein defekter Port. Er ist aktiv, hört BPDUs, leitet aber keine Daten weiter – das ist Absicht, um Schleifen zu verhindern.</w:t>
            </w:r>
          </w:p>
        </w:tc>
      </w:tr>
    </w:tbl>
    <w:p>
      <w:pPr>
        <w:spacing w:after="60" w:before="0"/>
      </w:pPr>
      <w:r>
        <w:rPr>
          <w:sz w:val="20"/>
          <w:szCs w:val="20"/>
        </w:rPr>
        <w:t xml:space="preserve"/>
      </w:r>
    </w:p>
    <w:tbl>
      <w:tblPr>
        <w:tblW w:type="dxa" w:w="9026"/>
        <w:tblBorders>
          <w:top w:val="single" w:color="0066AA" w:sz="4"/>
          <w:left w:val="single" w:color="0066AA" w:sz="4"/>
          <w:bottom w:val="single" w:color="0066AA" w:sz="4"/>
          <w:right w:val="single" w:color="0066AA" w:sz="4"/>
          <w:insideH w:val="single" w:color="auto" w:sz="4"/>
          <w:insideV w:val="single" w:color="auto" w:sz="4"/>
        </w:tblBorders>
      </w:tblPr>
      <w:tblGrid>
        <w:gridCol w:w="1200"/>
        <w:gridCol w:w="7826"/>
      </w:tblGrid>
      <w:tr>
        <w:tc>
          <w:tcPr>
            <w:tcW w:type="dxa" w:w="1200"/>
            <w:tcBorders>
              <w:top w:val="none" w:color="FFFFFF" w:sz="0"/>
              <w:left w:val="none" w:color="FFFFFF" w:sz="0"/>
              <w:bottom w:val="none" w:color="FFFFFF" w:sz="0"/>
              <w:right w:val="none" w:color="FFFFFF" w:sz="0"/>
            </w:tcBorders>
            <w:shd w:fill="003366" w:val="clear"/>
            <w:tcMar>
              <w:top w:type="dxa" w:w="80"/>
              <w:left w:type="dxa" w:w="120"/>
              <w:bottom w:type="dxa" w:w="80"/>
              <w:right w:type="dxa" w:w="120"/>
            </w:tcMar>
            <w:vAlign w:val="center"/>
          </w:tcPr>
          <w:p>
            <w:pPr>
              <w:jc w:val="center"/>
            </w:pPr>
            <w:r>
              <w:rPr>
                <w:rFonts w:ascii="Calibri" w:cs="Calibri" w:eastAsia="Calibri" w:hAnsi="Calibri"/>
                <w:b/>
                <w:bCs/>
                <w:color w:val="FFFFFF"/>
                <w:sz w:val="18"/>
                <w:szCs w:val="18"/>
              </w:rPr>
              <w:t xml:space="preserve">Link Aggregation</w:t>
            </w:r>
          </w:p>
        </w:tc>
        <w:tc>
          <w:tcPr>
            <w:tcW w:type="dxa" w:w="7826"/>
            <w:tcBorders>
              <w:top w:val="none" w:color="FFFFFF" w:sz="0"/>
              <w:left w:val="none" w:color="FFFFFF" w:sz="0"/>
              <w:bottom w:val="none" w:color="FFFFFF" w:sz="0"/>
              <w:right w:val="none" w:color="FFFFFF" w:sz="0"/>
            </w:tcBorders>
            <w:shd w:fill="EEF5FB" w:val="clear"/>
            <w:tcMar>
              <w:top w:type="dxa" w:w="80"/>
              <w:left w:type="dxa" w:w="160"/>
              <w:bottom w:type="dxa" w:w="80"/>
              <w:right w:type="dxa" w:w="120"/>
            </w:tcMar>
          </w:tcPr>
          <w:p>
            <w:r>
              <w:rPr>
                <w:rFonts w:ascii="Calibri" w:cs="Calibri" w:eastAsia="Calibri" w:hAnsi="Calibri"/>
                <w:sz w:val="20"/>
                <w:szCs w:val="20"/>
              </w:rPr>
              <w:t xml:space="preserve">Mehrere physische Links → ein logischer Link. Vorteile: mehr Bandbreite, Ausfallsicherheit, kein STP-Blocking auf diesen Links.</w:t>
            </w:r>
          </w:p>
        </w:tc>
      </w:tr>
    </w:tbl>
    <w:p>
      <w:pPr>
        <w:spacing w:after="60" w:before="0"/>
      </w:pPr>
      <w:r>
        <w:rPr>
          <w:sz w:val="20"/>
          <w:szCs w:val="20"/>
        </w:rPr>
        <w:t xml:space="preserve"/>
      </w:r>
    </w:p>
    <w:tbl>
      <w:tblPr>
        <w:tblW w:type="dxa" w:w="9026"/>
        <w:tblBorders>
          <w:top w:val="single" w:color="0066AA" w:sz="4"/>
          <w:left w:val="single" w:color="0066AA" w:sz="4"/>
          <w:bottom w:val="single" w:color="0066AA" w:sz="4"/>
          <w:right w:val="single" w:color="0066AA" w:sz="4"/>
          <w:insideH w:val="single" w:color="auto" w:sz="4"/>
          <w:insideV w:val="single" w:color="auto" w:sz="4"/>
        </w:tblBorders>
      </w:tblPr>
      <w:tblGrid>
        <w:gridCol w:w="1200"/>
        <w:gridCol w:w="7826"/>
      </w:tblGrid>
      <w:tr>
        <w:tc>
          <w:tcPr>
            <w:tcW w:type="dxa" w:w="1200"/>
            <w:tcBorders>
              <w:top w:val="none" w:color="FFFFFF" w:sz="0"/>
              <w:left w:val="none" w:color="FFFFFF" w:sz="0"/>
              <w:bottom w:val="none" w:color="FFFFFF" w:sz="0"/>
              <w:right w:val="none" w:color="FFFFFF" w:sz="0"/>
            </w:tcBorders>
            <w:shd w:fill="003366" w:val="clear"/>
            <w:tcMar>
              <w:top w:type="dxa" w:w="80"/>
              <w:left w:type="dxa" w:w="120"/>
              <w:bottom w:type="dxa" w:w="80"/>
              <w:right w:type="dxa" w:w="120"/>
            </w:tcMar>
            <w:vAlign w:val="center"/>
          </w:tcPr>
          <w:p>
            <w:pPr>
              <w:jc w:val="center"/>
            </w:pPr>
            <w:r>
              <w:rPr>
                <w:rFonts w:ascii="Calibri" w:cs="Calibri" w:eastAsia="Calibri" w:hAnsi="Calibri"/>
                <w:b/>
                <w:bCs/>
                <w:color w:val="FFFFFF"/>
                <w:sz w:val="18"/>
                <w:szCs w:val="18"/>
              </w:rPr>
              <w:t xml:space="preserve">Subinterface</w:t>
            </w:r>
          </w:p>
        </w:tc>
        <w:tc>
          <w:tcPr>
            <w:tcW w:type="dxa" w:w="7826"/>
            <w:tcBorders>
              <w:top w:val="none" w:color="FFFFFF" w:sz="0"/>
              <w:left w:val="none" w:color="FFFFFF" w:sz="0"/>
              <w:bottom w:val="none" w:color="FFFFFF" w:sz="0"/>
              <w:right w:val="none" w:color="FFFFFF" w:sz="0"/>
            </w:tcBorders>
            <w:shd w:fill="EEF5FB" w:val="clear"/>
            <w:tcMar>
              <w:top w:type="dxa" w:w="80"/>
              <w:left w:type="dxa" w:w="160"/>
              <w:bottom w:type="dxa" w:w="80"/>
              <w:right w:type="dxa" w:w="120"/>
            </w:tcMar>
          </w:tcPr>
          <w:p>
            <w:r>
              <w:rPr>
                <w:rFonts w:ascii="Calibri" w:cs="Calibri" w:eastAsia="Calibri" w:hAnsi="Calibri"/>
                <w:sz w:val="20"/>
                <w:szCs w:val="20"/>
              </w:rPr>
              <w:t xml:space="preserve">eth1.11 = logisches Interface auf eth1 für VLAN 11. Trunk-Port am Switch nötig. Kein eigener physischer Port pro VLAN erforderlich.</w:t>
            </w:r>
          </w:p>
        </w:tc>
      </w:tr>
    </w:tbl>
    <w:p>
      <w:pPr>
        <w:spacing w:after="60" w:before="0"/>
      </w:pPr>
      <w:r>
        <w:rPr>
          <w:sz w:val="20"/>
          <w:szCs w:val="20"/>
        </w:rPr>
        <w:t xml:space="preserve"/>
      </w:r>
    </w:p>
    <w:p>
      <w:pPr>
        <w:shd w:fill="003366" w:val="clear"/>
        <w:spacing w:after="120" w:before="240"/>
        <w:ind w:left="0"/>
        <w:jc w:val="center"/>
      </w:pPr>
      <w:r>
        <w:rPr>
          <w:rFonts w:ascii="Calibri" w:cs="Calibri" w:eastAsia="Calibri" w:hAnsi="Calibri"/>
          <w:b/>
          <w:bCs/>
          <w:color w:val="FFFFFF"/>
          <w:sz w:val="20"/>
          <w:szCs w:val="20"/>
        </w:rPr>
        <w:t xml:space="preserve">Ende des Lernzettels Block 1  |  Kalibrierungsrunde folgt</w:t>
      </w:r>
    </w:p>
    <w:sectPr>
      <w:headerReference w:type="default" r:id="rId7"/>
      <w:footerReference w:type="default" r:id="rId8"/>
      <w:pgSz w:w="11906" w:h="16838" w:orient="portrait"/>
      <w:pgMar w:top="1000" w:right="1000" w:bottom="12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066AA" w:sz="4" w:space="1"/>
      </w:pBdr>
      <w:jc w:val="right"/>
    </w:pPr>
    <w:r>
      <w:rPr>
        <w:rFonts w:ascii="Calibri" w:cs="Calibri" w:eastAsia="Calibri" w:hAnsi="Calibri"/>
        <w:color w:val="666666"/>
        <w:sz w:val="18"/>
        <w:szCs w:val="18"/>
      </w:rPr>
      <w:t xml:space="preserve">Vor-/Nachname: ______________________________</w:t>
    </w:r>
    <w:r>
      <w:rPr>
        <w:rFonts w:ascii="Calibri" w:cs="Calibri" w:eastAsia="Calibri" w:hAnsi="Calibri"/>
        <w:color w:val="666666"/>
        <w:sz w:val="18"/>
        <w:szCs w:val="18"/>
      </w:rPr>
      <w:t xml:space="preserve">    Seite </w:t>
    </w:r>
    <w:r>
      <w:rPr>
        <w:rFonts w:ascii="Calibri" w:cs="Calibri" w:eastAsia="Calibri" w:hAnsi="Calibri"/>
        <w:color w:val="003366"/>
        <w:sz w:val="18"/>
        <w:szCs w:val="18"/>
      </w:rPr>
      <w:fldChar w:fldCharType="begin"/>
      <w:instrText xml:space="preserve">PAGE</w:instrText>
      <w:fldChar w:fldCharType="separate"/>
      <w:fldChar w:fldCharType="end"/>
    </w:r>
    <w:r>
      <w:rPr>
        <w:rFonts w:ascii="Calibri" w:cs="Calibri" w:eastAsia="Calibri" w:hAnsi="Calibri"/>
        <w:color w:val="666666"/>
        <w:sz w:val="18"/>
        <w:szCs w:val="18"/>
      </w:rPr>
      <w:t xml:space="preserve"> von </w:t>
    </w:r>
    <w:r>
      <w:rPr>
        <w:rFonts w:ascii="Calibri" w:cs="Calibri" w:eastAsia="Calibri" w:hAnsi="Calibri"/>
        <w:color w:val="003366"/>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66AA" w:sz="24" w:space="0"/>
      </w:pBdr>
      <w:spacing w:after="80" w:before="0"/>
    </w:pPr>
    <w:r>
      <w:rPr>
        <w:sz w:val="4"/>
        <w:szCs w:val="4"/>
      </w:rPr>
      <w:t xml:space="preserve"/>
    </w:r>
  </w:p>
  <w:p>
    <w:pPr>
      <w:spacing w:after="0"/>
    </w:pPr>
    <w:r>
      <w:rPr>
        <w:rFonts w:ascii="Calibri" w:cs="Calibri" w:eastAsia="Calibri" w:hAnsi="Calibri"/>
        <w:color w:val="0066AA"/>
        <w:sz w:val="18"/>
        <w:szCs w:val="18"/>
      </w:rPr>
      <w:t xml:space="preserve">FISI AP2-Vorbereitung  |  Lernzettel Block 1: VLAN-Trunking, STP, Link Aggregation</w:t>
    </w:r>
    <w:r>
      <w:rPr>
        <w:rFonts w:ascii="Calibri" w:cs="Calibri" w:eastAsia="Calibri" w:hAnsi="Calibri"/>
        <w:color w:val="999999"/>
        <w:sz w:val="18"/>
        <w:szCs w:val="18"/>
      </w:rPr>
      <w:t xml:space="preserve">  |  bfw – Unternehmen für Bildung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bullet"/>
      <w:lvlText w:val="◦"/>
      <w:lvlJc w:val="left"/>
      <w:pPr>
        <w:ind w:left="10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Calibri" w:cs="Calibri" w:eastAsia="Calibri" w:hAnsi="Calibri"/>
      <w:b/>
      <w:bCs/>
      <w:sz w:val="28"/>
      <w:szCs w:val="28"/>
    </w:rPr>
  </w:style>
  <w:style w:type="paragraph" w:styleId="Heading2">
    <w:name w:val="Heading 2"/>
    <w:basedOn w:val="Normal"/>
    <w:next w:val="Normal"/>
    <w:qFormat/>
    <w:pPr>
      <w:outlineLvl w:val="1"/>
    </w:pPr>
    <w:rPr>
      <w:rFonts w:ascii="Calibri" w:cs="Calibri" w:eastAsia="Calibri" w:hAnsi="Calibri"/>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2026-04-21T10:18:03.706Z</dcterms:created>
  <dcterms:modified xsi:type="dcterms:W3CDTF">2026-04-21T10:18:03.707Z</dcterms:modified>
</cp:coreProperties>
</file>

<file path=docProps/custom.xml><?xml version="1.0" encoding="utf-8"?>
<Properties xmlns="http://schemas.openxmlformats.org/officeDocument/2006/custom-properties" xmlns:vt="http://schemas.openxmlformats.org/officeDocument/2006/docPropsVTypes"/>
</file>