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0d276c8c3ee5a7facd4c008342107fc538fe2c5"/>
    <w:p>
      <w:pPr>
        <w:pStyle w:val="Heading1"/>
      </w:pPr>
      <w:r>
        <w:t xml:space="preserve">AP2-Lernzettel — Subnetting &amp; IP-Adressierung</w:t>
      </w:r>
    </w:p>
    <w:p>
      <w:pPr>
        <w:pStyle w:val="FirstParagraph"/>
      </w:pPr>
      <w:r>
        <w:rPr>
          <w:bCs/>
          <w:b/>
        </w:rPr>
        <w:t xml:space="preserve">Prüfungsrelevanz:</w:t>
      </w:r>
      <w:r>
        <w:t xml:space="preserve"> </w:t>
      </w:r>
      <w:r>
        <w:t xml:space="preserve">FISI-Kern (Dauerbrenner!), FIAE fachübergreifend (~10%)</w:t>
      </w:r>
      <w:r>
        <w:br/>
      </w:r>
      <w:r>
        <w:rPr>
          <w:bCs/>
          <w:b/>
        </w:rPr>
        <w:t xml:space="preserve">Empfehlung:</w:t>
      </w:r>
      <w:r>
        <w:t xml:space="preserve"> </w:t>
      </w:r>
      <w:r>
        <w:t xml:space="preserve">Subnetting muss sitzen — kommt in fast jeder FISI-AP2 vor</w:t>
      </w:r>
    </w:p>
    <w:p>
      <w:r>
        <w:pict>
          <v:rect style="width:0;height:1.5pt" o:hralign="center" o:hrstd="t" o:hr="t"/>
        </w:pict>
      </w:r>
    </w:p>
    <w:bookmarkStart w:id="23" w:name="ipv4-grundlagen"/>
    <w:p>
      <w:pPr>
        <w:pStyle w:val="Heading2"/>
      </w:pPr>
      <w:r>
        <w:t xml:space="preserve">1. IPv4-Grundlagen</w:t>
      </w:r>
    </w:p>
    <w:bookmarkStart w:id="20" w:name="aufbau-einer-ipv4-adresse"/>
    <w:p>
      <w:pPr>
        <w:pStyle w:val="Heading3"/>
      </w:pPr>
      <w:r>
        <w:t xml:space="preserve">1.1 Aufbau einer IPv4-Adresse</w:t>
      </w:r>
    </w:p>
    <w:p>
      <w:pPr>
        <w:numPr>
          <w:ilvl w:val="0"/>
          <w:numId w:val="1001"/>
        </w:numPr>
        <w:pStyle w:val="Compact"/>
      </w:pPr>
      <w:r>
        <w:t xml:space="preserve">32 Bit, aufgeteilt in 4 Oktette (je 8 Bit)</w:t>
      </w:r>
    </w:p>
    <w:p>
      <w:pPr>
        <w:numPr>
          <w:ilvl w:val="0"/>
          <w:numId w:val="1001"/>
        </w:numPr>
        <w:pStyle w:val="Compact"/>
      </w:pPr>
      <w:r>
        <w:t xml:space="preserve">Schreibweise:</w:t>
      </w:r>
      <w:r>
        <w:t xml:space="preserve"> </w:t>
      </w:r>
      <w:r>
        <w:rPr>
          <w:rStyle w:val="VerbatimChar"/>
        </w:rPr>
        <w:t xml:space="preserve">192.168.1.100</w:t>
      </w:r>
      <w:r>
        <w:t xml:space="preserve"> </w:t>
      </w:r>
      <w:r>
        <w:t xml:space="preserve">(dezimal, durch Punkte getrennt)</w:t>
      </w:r>
    </w:p>
    <w:p>
      <w:pPr>
        <w:numPr>
          <w:ilvl w:val="0"/>
          <w:numId w:val="1001"/>
        </w:numPr>
        <w:pStyle w:val="Compact"/>
      </w:pPr>
      <w:r>
        <w:t xml:space="preserve">Besteht aus</w:t>
      </w:r>
      <w:r>
        <w:t xml:space="preserve"> </w:t>
      </w:r>
      <w:r>
        <w:rPr>
          <w:bCs/>
          <w:b/>
        </w:rPr>
        <w:t xml:space="preserve">Netzanteil</w:t>
      </w:r>
      <w:r>
        <w:t xml:space="preserve"> </w:t>
      </w:r>
      <w:r>
        <w:t xml:space="preserve">(identifiziert das Netz) und</w:t>
      </w:r>
      <w:r>
        <w:t xml:space="preserve"> </w:t>
      </w:r>
      <w:r>
        <w:rPr>
          <w:bCs/>
          <w:b/>
        </w:rPr>
        <w:t xml:space="preserve">Hostanteil</w:t>
      </w:r>
      <w:r>
        <w:t xml:space="preserve"> </w:t>
      </w:r>
      <w:r>
        <w:t xml:space="preserve">(identifiziert das Gerät im Netz)</w:t>
      </w:r>
    </w:p>
    <w:p>
      <w:pPr>
        <w:numPr>
          <w:ilvl w:val="0"/>
          <w:numId w:val="1001"/>
        </w:numPr>
        <w:pStyle w:val="Compact"/>
      </w:pPr>
      <w:r>
        <w:t xml:space="preserve">Die</w:t>
      </w:r>
      <w:r>
        <w:t xml:space="preserve"> </w:t>
      </w:r>
      <w:r>
        <w:rPr>
          <w:bCs/>
          <w:b/>
        </w:rPr>
        <w:t xml:space="preserve">Subnetzmaske</w:t>
      </w:r>
      <w:r>
        <w:t xml:space="preserve"> </w:t>
      </w:r>
      <w:r>
        <w:t xml:space="preserve">bestimmt, wo die Grenze zwischen Netz- und Hostanteil liegt</w:t>
      </w:r>
    </w:p>
    <w:bookmarkEnd w:id="20"/>
    <w:bookmarkStart w:id="21" w:name="private-adressbereiche-rfc-1918"/>
    <w:p>
      <w:pPr>
        <w:pStyle w:val="Heading3"/>
      </w:pPr>
      <w:r>
        <w:t xml:space="preserve">1.2 Private Adressbereiche (RFC 1918)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Klasse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Bereich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CIDR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Nutzbare Hosts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10.0.0.0 – 10.255.255.255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10.0.0.0/8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~16,7 Mio.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172.16.0.0 – 172.31.255.255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172.16.0.0/12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~1 Mio.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192.168.0.0 – 192.168.255.255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192.168.0.0/16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~65.000</w:t>
            </w:r>
          </w:p>
        </w:tc>
      </w:tr>
    </w:tbl>
    <w:p>
      <w:pPr>
        <w:pStyle w:val="BodyText"/>
      </w:pPr>
      <w:r>
        <w:t xml:space="preserve">Private Adressen werden</w:t>
      </w:r>
      <w:r>
        <w:t xml:space="preserve"> </w:t>
      </w:r>
      <w:r>
        <w:rPr>
          <w:bCs/>
          <w:b/>
        </w:rPr>
        <w:t xml:space="preserve">nicht</w:t>
      </w:r>
      <w:r>
        <w:t xml:space="preserve"> </w:t>
      </w:r>
      <w:r>
        <w:t xml:space="preserve">im Internet geroutet → für interne Netze verwendet. Für den Internetzugang:</w:t>
      </w:r>
      <w:r>
        <w:t xml:space="preserve"> </w:t>
      </w:r>
      <w:r>
        <w:rPr>
          <w:bCs/>
          <w:b/>
        </w:rPr>
        <w:t xml:space="preserve">NAT</w:t>
      </w:r>
      <w:r>
        <w:t xml:space="preserve"> </w:t>
      </w:r>
      <w:r>
        <w:t xml:space="preserve">(Network Address Translation).</w:t>
      </w:r>
    </w:p>
    <w:bookmarkEnd w:id="21"/>
    <w:bookmarkStart w:id="22" w:name="besondere-adressen"/>
    <w:p>
      <w:pPr>
        <w:pStyle w:val="Heading3"/>
      </w:pPr>
      <w:r>
        <w:t xml:space="preserve">1.3 Besondere Adressen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Adresse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Bedeutung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127.0.0.1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Loopback (localhost)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0.0.0.0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Alle Netze</w:t>
            </w:r>
            <w:r>
              <w:t xml:space="preserve">”</w:t>
            </w:r>
            <w:r>
              <w:t xml:space="preserve"> </w:t>
            </w:r>
            <w:r>
              <w:t xml:space="preserve">/ unspezifiziert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255.255.255.255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Limited Broadcast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169.254.x.x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APIPA (automatisch, wenn kein DHCP)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2"/>
    <w:bookmarkEnd w:id="23"/>
    <w:bookmarkStart w:id="26" w:name="subnetzmaske-und-cidr"/>
    <w:p>
      <w:pPr>
        <w:pStyle w:val="Heading2"/>
      </w:pPr>
      <w:r>
        <w:t xml:space="preserve">2. Subnetzmaske und CIDR</w:t>
      </w:r>
    </w:p>
    <w:bookmarkStart w:id="24" w:name="cidr-notation"/>
    <w:p>
      <w:pPr>
        <w:pStyle w:val="Heading3"/>
      </w:pPr>
      <w:r>
        <w:t xml:space="preserve">2.1 CIDR-Notation</w:t>
      </w:r>
    </w:p>
    <w:p>
      <w:pPr>
        <w:pStyle w:val="FirstParagraph"/>
      </w:pPr>
      <w:r>
        <w:t xml:space="preserve">Die Subnetzmaske wird als Präfixlänge angegeben:</w:t>
      </w:r>
      <w:r>
        <w:t xml:space="preserve"> </w:t>
      </w:r>
      <w:r>
        <w:rPr>
          <w:rStyle w:val="VerbatimChar"/>
        </w:rPr>
        <w:t xml:space="preserve">/24</w:t>
      </w:r>
      <w:r>
        <w:t xml:space="preserve"> </w:t>
      </w:r>
      <w:r>
        <w:t xml:space="preserve">bedeutet 24 Netz-Bits, 8 Host-Bits.</w:t>
      </w:r>
    </w:p>
    <w:bookmarkEnd w:id="24"/>
    <w:bookmarkStart w:id="25" w:name="wichtige-subnetzmasken-auswendig-lernen"/>
    <w:p>
      <w:pPr>
        <w:pStyle w:val="Heading3"/>
      </w:pPr>
      <w:r>
        <w:t xml:space="preserve">2.2 Wichtige Subnetzmasken (auswendig lernen!)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CIDR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Maske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Hostbits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Blockgröße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Nutzbare Hosts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/8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255.0.0.0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16.777.216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16.777.214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/16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255.255.0.0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65.536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65.534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/20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255.255.240.0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4.094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/21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255.255.248.0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2.046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/22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255.255.252.0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1.022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/23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255.255.254.0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/24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255.255.255.0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/25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255.255.255.128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/26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255.255.255.192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/27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255.255.255.224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/28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255.255.255.240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/29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255.255.255.248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/30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255.255.255.252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</w:tr>
    </w:tbl>
    <w:p>
      <w:pPr>
        <w:pStyle w:val="BodyText"/>
      </w:pPr>
      <w:r>
        <w:rPr>
          <w:bCs/>
          <w:b/>
        </w:rPr>
        <w:t xml:space="preserve">Formeln:</w:t>
      </w:r>
      <w:r>
        <w:t xml:space="preserve"> </w:t>
      </w:r>
      <w:r>
        <w:t xml:space="preserve">- Blockgröße = 2^(32 − Präfix)</w:t>
      </w:r>
      <w:r>
        <w:t xml:space="preserve"> </w:t>
      </w:r>
      <w:r>
        <w:t xml:space="preserve">- Nutzbare Hosts = Blockgröße − 2 (Netzadresse und Broadcast abziehen)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31" w:name="subnetting-berechnungen"/>
    <w:p>
      <w:pPr>
        <w:pStyle w:val="Heading2"/>
      </w:pPr>
      <w:r>
        <w:t xml:space="preserve">3. Subnetting-Berechnungen</w:t>
      </w:r>
    </w:p>
    <w:bookmarkStart w:id="27" w:name="netzadresse-berechnen"/>
    <w:p>
      <w:pPr>
        <w:pStyle w:val="Heading3"/>
      </w:pPr>
      <w:r>
        <w:t xml:space="preserve">3.1 Netzadresse berechnen</w:t>
      </w:r>
    </w:p>
    <w:p>
      <w:pPr>
        <w:pStyle w:val="FirstParagraph"/>
      </w:pPr>
      <w:r>
        <w:rPr>
          <w:bCs/>
          <w:b/>
        </w:rPr>
        <w:t xml:space="preserve">Methode:</w:t>
      </w:r>
      <w:r>
        <w:t xml:space="preserve"> </w:t>
      </w:r>
      <w:r>
        <w:t xml:space="preserve">IP-Adresse</w:t>
      </w:r>
      <w:r>
        <w:t xml:space="preserve"> </w:t>
      </w:r>
      <w:r>
        <w:rPr>
          <w:bCs/>
          <w:b/>
        </w:rPr>
        <w:t xml:space="preserve">AND</w:t>
      </w:r>
      <w:r>
        <w:t xml:space="preserve"> </w:t>
      </w:r>
      <w:r>
        <w:t xml:space="preserve">Subnetzmaske (bitweise)</w:t>
      </w:r>
    </w:p>
    <w:p>
      <w:pPr>
        <w:pStyle w:val="BodyText"/>
      </w:pPr>
      <w:r>
        <w:rPr>
          <w:bCs/>
          <w:b/>
        </w:rPr>
        <w:t xml:space="preserve">Schnelle Methode (Blockgröße):</w:t>
      </w:r>
      <w:r>
        <w:t xml:space="preserve"> </w:t>
      </w:r>
      <w:r>
        <w:t xml:space="preserve">1. Blockgröße im relevanten Oktett bestimmen</w:t>
      </w:r>
      <w:r>
        <w:t xml:space="preserve"> </w:t>
      </w:r>
      <w:r>
        <w:t xml:space="preserve">2. In welchen Block fällt die IP?</w:t>
      </w:r>
      <w:r>
        <w:t xml:space="preserve"> </w:t>
      </w:r>
      <w:r>
        <w:t xml:space="preserve">3. Blockstart = Netzadresse</w:t>
      </w:r>
    </w:p>
    <w:p>
      <w:pPr>
        <w:pStyle w:val="BodyText"/>
      </w:pPr>
      <w:r>
        <w:rPr>
          <w:bCs/>
          <w:b/>
        </w:rPr>
        <w:t xml:space="preserve">Beispiel:</w:t>
      </w:r>
      <w:r>
        <w:t xml:space="preserve"> </w:t>
      </w:r>
      <w:r>
        <w:t xml:space="preserve">IP = 192.168.45.130/26</w:t>
      </w:r>
      <w:r>
        <w:t xml:space="preserve"> </w:t>
      </w:r>
      <w:r>
        <w:t xml:space="preserve">- /26 → Blockgröße im 4. Oktett = 64</w:t>
      </w:r>
      <w:r>
        <w:t xml:space="preserve"> </w:t>
      </w:r>
      <w:r>
        <w:t xml:space="preserve">- Blöcke: 0, 64, 128, 192</w:t>
      </w:r>
      <w:r>
        <w:t xml:space="preserve"> </w:t>
      </w:r>
      <w:r>
        <w:t xml:space="preserve">- 130 liegt im Block 128 (128 ≤ 130 &lt; 192)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Netzadresse: 192.168.45.128</w:t>
      </w:r>
    </w:p>
    <w:bookmarkEnd w:id="27"/>
    <w:bookmarkStart w:id="28" w:name="broadcast-berechnen"/>
    <w:p>
      <w:pPr>
        <w:pStyle w:val="Heading3"/>
      </w:pPr>
      <w:r>
        <w:t xml:space="preserve">3.2 Broadcast berechnen</w:t>
      </w:r>
    </w:p>
    <w:p>
      <w:pPr>
        <w:pStyle w:val="FirstParagraph"/>
      </w:pPr>
      <w:r>
        <w:rPr>
          <w:bCs/>
          <w:b/>
        </w:rPr>
        <w:t xml:space="preserve">Broadcast = Netzadresse + Blockgröße − 1</w:t>
      </w:r>
    </w:p>
    <w:p>
      <w:pPr>
        <w:numPr>
          <w:ilvl w:val="0"/>
          <w:numId w:val="1002"/>
        </w:numPr>
        <w:pStyle w:val="Compact"/>
      </w:pPr>
      <w:r>
        <w:t xml:space="preserve">Netzadresse: 192.168.45.128, Blockgröße: 64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Broadcast: 192.168.45.128 + 64 − 1 = 192.168.45.191</w:t>
      </w:r>
    </w:p>
    <w:bookmarkEnd w:id="28"/>
    <w:bookmarkStart w:id="29" w:name="nutzbarer-hostbereich"/>
    <w:p>
      <w:pPr>
        <w:pStyle w:val="Heading3"/>
      </w:pPr>
      <w:r>
        <w:t xml:space="preserve">3.3 Nutzbarer Hostbereich</w:t>
      </w:r>
    </w:p>
    <w:p>
      <w:pPr>
        <w:numPr>
          <w:ilvl w:val="0"/>
          <w:numId w:val="1003"/>
        </w:numPr>
        <w:pStyle w:val="Compact"/>
      </w:pPr>
      <w:r>
        <w:t xml:space="preserve">Erster Host = Netzadresse + 1 →</w:t>
      </w:r>
      <w:r>
        <w:t xml:space="preserve"> </w:t>
      </w:r>
      <w:r>
        <w:rPr>
          <w:bCs/>
          <w:b/>
        </w:rPr>
        <w:t xml:space="preserve">192.168.45.129</w:t>
      </w:r>
    </w:p>
    <w:p>
      <w:pPr>
        <w:numPr>
          <w:ilvl w:val="0"/>
          <w:numId w:val="1003"/>
        </w:numPr>
        <w:pStyle w:val="Compact"/>
      </w:pPr>
      <w:r>
        <w:t xml:space="preserve">Letzter Host = Broadcast − 1 →</w:t>
      </w:r>
      <w:r>
        <w:t xml:space="preserve"> </w:t>
      </w:r>
      <w:r>
        <w:rPr>
          <w:bCs/>
          <w:b/>
        </w:rPr>
        <w:t xml:space="preserve">192.168.45.190</w:t>
      </w:r>
    </w:p>
    <w:bookmarkEnd w:id="29"/>
    <w:bookmarkStart w:id="30" w:name="subnetting-im-3.-oktett-prüfungsfalle"/>
    <w:p>
      <w:pPr>
        <w:pStyle w:val="Heading3"/>
      </w:pPr>
      <w:r>
        <w:t xml:space="preserve">3.4 Subnetting im 3. Oktett (Prüfungsfalle!)</w:t>
      </w:r>
    </w:p>
    <w:p>
      <w:pPr>
        <w:pStyle w:val="FirstParagraph"/>
      </w:pPr>
      <w:r>
        <w:rPr>
          <w:bCs/>
          <w:b/>
        </w:rPr>
        <w:t xml:space="preserve">Beispiel:</w:t>
      </w:r>
      <w:r>
        <w:t xml:space="preserve"> </w:t>
      </w:r>
      <w:r>
        <w:t xml:space="preserve">IP = 10.0.15.200/20</w:t>
      </w:r>
      <w:r>
        <w:t xml:space="preserve"> </w:t>
      </w:r>
      <w:r>
        <w:t xml:space="preserve">- /20 → 4 Netzbits im 3. Oktett, Blockgröße im 3. Oktett = 2^4 = 16</w:t>
      </w:r>
      <w:r>
        <w:t xml:space="preserve"> </w:t>
      </w:r>
      <w:r>
        <w:t xml:space="preserve">- Blöcke im 3. Oktett: 0, 16, 32, 48, …</w:t>
      </w:r>
      <w:r>
        <w:t xml:space="preserve"> </w:t>
      </w:r>
      <w:r>
        <w:t xml:space="preserve">- 15 liegt im Block 0 (0 ≤ 15 &lt; 16)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Netzadresse: 10.0.0.0/20</w:t>
      </w:r>
      <w:r>
        <w:t xml:space="preserve"> </w:t>
      </w:r>
      <w:r>
        <w:t xml:space="preserve">(3. Oktett = 0, 4. Oktett = 0)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Broadcast: 10.0.15.255</w:t>
      </w:r>
      <w:r>
        <w:t xml:space="preserve"> </w:t>
      </w:r>
      <w:r>
        <w:t xml:space="preserve">(3. Oktett = 0 + 16 − 1 = 15)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5" w:name="vlsm-variable-length-subnet-masking"/>
    <w:p>
      <w:pPr>
        <w:pStyle w:val="Heading2"/>
      </w:pPr>
      <w:r>
        <w:t xml:space="preserve">4. VLSM (Variable Length Subnet Masking)</w:t>
      </w:r>
    </w:p>
    <w:bookmarkStart w:id="32" w:name="prinzip"/>
    <w:p>
      <w:pPr>
        <w:pStyle w:val="Heading3"/>
      </w:pPr>
      <w:r>
        <w:t xml:space="preserve">4.1 Prinzip</w:t>
      </w:r>
    </w:p>
    <w:p>
      <w:pPr>
        <w:pStyle w:val="FirstParagraph"/>
      </w:pPr>
      <w:r>
        <w:t xml:space="preserve">Unterschiedlich große Subnetze innerhalb eines Netzes — jedes Subnetz bekommt die</w:t>
      </w:r>
      <w:r>
        <w:t xml:space="preserve"> </w:t>
      </w:r>
      <w:r>
        <w:rPr>
          <w:bCs/>
          <w:b/>
        </w:rPr>
        <w:t xml:space="preserve">passende</w:t>
      </w:r>
      <w:r>
        <w:t xml:space="preserve"> </w:t>
      </w:r>
      <w:r>
        <w:t xml:space="preserve">Präfixlänge statt einer einheitlichen.</w:t>
      </w:r>
    </w:p>
    <w:bookmarkEnd w:id="32"/>
    <w:bookmarkStart w:id="33" w:name="vorgehensweise"/>
    <w:p>
      <w:pPr>
        <w:pStyle w:val="Heading3"/>
      </w:pPr>
      <w:r>
        <w:t xml:space="preserve">4.2 Vorgehensweise</w:t>
      </w:r>
    </w:p>
    <w:p>
      <w:pPr>
        <w:numPr>
          <w:ilvl w:val="0"/>
          <w:numId w:val="1004"/>
        </w:numPr>
        <w:pStyle w:val="Compact"/>
      </w:pPr>
      <w:r>
        <w:t xml:space="preserve">Netze nach Hostbedarf</w:t>
      </w:r>
      <w:r>
        <w:t xml:space="preserve"> </w:t>
      </w:r>
      <w:r>
        <w:rPr>
          <w:bCs/>
          <w:b/>
        </w:rPr>
        <w:t xml:space="preserve">absteigend</w:t>
      </w:r>
      <w:r>
        <w:t xml:space="preserve"> </w:t>
      </w:r>
      <w:r>
        <w:t xml:space="preserve">sortieren</w:t>
      </w:r>
    </w:p>
    <w:p>
      <w:pPr>
        <w:numPr>
          <w:ilvl w:val="0"/>
          <w:numId w:val="1004"/>
        </w:numPr>
        <w:pStyle w:val="Compact"/>
      </w:pPr>
      <w:r>
        <w:t xml:space="preserve">Für jedes Netz die passende Präfixlänge berechnen: 2^n − 2 ≥ benötigte Hosts</w:t>
      </w:r>
    </w:p>
    <w:p>
      <w:pPr>
        <w:numPr>
          <w:ilvl w:val="0"/>
          <w:numId w:val="1004"/>
        </w:numPr>
        <w:pStyle w:val="Compact"/>
      </w:pPr>
      <w:r>
        <w:t xml:space="preserve">Subnetze</w:t>
      </w:r>
      <w:r>
        <w:t xml:space="preserve"> </w:t>
      </w:r>
      <w:r>
        <w:rPr>
          <w:bCs/>
          <w:b/>
        </w:rPr>
        <w:t xml:space="preserve">fortlaufend</w:t>
      </w:r>
      <w:r>
        <w:t xml:space="preserve"> </w:t>
      </w:r>
      <w:r>
        <w:t xml:space="preserve">zuweisen (keine Lücken, keine Überlappung)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Alignment beachten:</w:t>
      </w:r>
      <w:r>
        <w:t xml:space="preserve"> </w:t>
      </w:r>
      <w:r>
        <w:t xml:space="preserve">Ein /26-Netz (Blockgröße 64) muss an einer durch 64 teilbaren Adresse beginnen!</w:t>
      </w:r>
    </w:p>
    <w:bookmarkEnd w:id="33"/>
    <w:bookmarkStart w:id="34" w:name="passende-präfixlänge-finden"/>
    <w:p>
      <w:pPr>
        <w:pStyle w:val="Heading3"/>
      </w:pPr>
      <w:r>
        <w:t xml:space="preserve">4.3 Passende Präfixlänge finden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Benötigte Hosts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Hostbits (n)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Verfügbar (2^n−2)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Präfix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/30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5–6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/29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7–14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/28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15–30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/27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31–62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/26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63–126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/25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127–254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/24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4"/>
    <w:bookmarkEnd w:id="35"/>
    <w:bookmarkStart w:id="36" w:name="X274092dc78b42d31e8c0351b700c5b5bf7410cc"/>
    <w:p>
      <w:pPr>
        <w:pStyle w:val="Heading2"/>
      </w:pPr>
      <w:r>
        <w:t xml:space="preserve">5. Gleiches Subnetz? (Typische Prüfungsaufgabe)</w:t>
      </w:r>
    </w:p>
    <w:p>
      <w:pPr>
        <w:pStyle w:val="FirstParagraph"/>
      </w:pPr>
      <w:r>
        <w:rPr>
          <w:bCs/>
          <w:b/>
        </w:rPr>
        <w:t xml:space="preserve">Frage:</w:t>
      </w:r>
      <w:r>
        <w:t xml:space="preserve"> </w:t>
      </w:r>
      <w:r>
        <w:t xml:space="preserve">Können zwei Geräte ohne Router direkt kommunizieren?</w:t>
      </w:r>
    </w:p>
    <w:p>
      <w:pPr>
        <w:pStyle w:val="BodyText"/>
      </w:pPr>
      <w:r>
        <w:rPr>
          <w:bCs/>
          <w:b/>
        </w:rPr>
        <w:t xml:space="preserve">Methode:</w:t>
      </w:r>
      <w:r>
        <w:t xml:space="preserve"> </w:t>
      </w:r>
      <w:r>
        <w:t xml:space="preserve">Netzadresse beider IPs berechnen → gleich = gleiches Subnetz → ja.</w:t>
      </w:r>
    </w:p>
    <w:p>
      <w:pPr>
        <w:pStyle w:val="BodyText"/>
      </w:pPr>
      <w:r>
        <w:rPr>
          <w:bCs/>
          <w:b/>
        </w:rPr>
        <w:t xml:space="preserve">Beispiel:</w:t>
      </w:r>
      <w:r>
        <w:t xml:space="preserve"> </w:t>
      </w:r>
      <w:r>
        <w:t xml:space="preserve">IP1 = 10.0.15.200/20, IP2 = 10.0.17.50/20</w:t>
      </w:r>
      <w:r>
        <w:t xml:space="preserve"> </w:t>
      </w:r>
      <w:r>
        <w:t xml:space="preserve">- IP1 → Netz: 10.0.0.0/20 (Block 0–15)</w:t>
      </w:r>
      <w:r>
        <w:t xml:space="preserve"> </w:t>
      </w:r>
      <w:r>
        <w:t xml:space="preserve">- IP2 → Netz: 10.0.16.0/20 (Block 16–31)</w:t>
      </w:r>
      <w:r>
        <w:t xml:space="preserve"> </w:t>
      </w:r>
      <w:r>
        <w:t xml:space="preserve">- Verschiedene Netze →</w:t>
      </w:r>
      <w:r>
        <w:t xml:space="preserve"> </w:t>
      </w:r>
      <w:r>
        <w:rPr>
          <w:bCs/>
          <w:b/>
        </w:rPr>
        <w:t xml:space="preserve">Router nötig</w:t>
      </w:r>
    </w:p>
    <w:p>
      <w:r>
        <w:pict>
          <v:rect style="width:0;height:1.5pt" o:hralign="center" o:hrstd="t" o:hr="t"/>
        </w:pict>
      </w:r>
    </w:p>
    <w:bookmarkEnd w:id="36"/>
    <w:bookmarkStart w:id="37" w:name="ipv6-grundlagen-kurzüberblick"/>
    <w:p>
      <w:pPr>
        <w:pStyle w:val="Heading2"/>
      </w:pPr>
      <w:r>
        <w:t xml:space="preserve">6. IPv6-Grundlagen (Kurzüberblick)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Eigenschaft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IPv4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IPv6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Adresslänge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 Bit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128 Bit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Schreibweise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192.168.1.1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2001:0db8:85a3::8a2e:0370:7334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Adressraum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~4,3 Milliarden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~340 Sextillionen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Konfiguration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DHCP oder manuell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SLAAC</w:t>
            </w:r>
            <w:r>
              <w:t xml:space="preserve"> </w:t>
            </w:r>
            <w:r>
              <w:t xml:space="preserve">(Stateless Address Autoconfiguration) oder DHCPv6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NAT nötig?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 (private Adressen)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Nein (genug Adressen für alle)</w:t>
            </w:r>
          </w:p>
        </w:tc>
      </w:tr>
    </w:tbl>
    <w:p>
      <w:pPr>
        <w:pStyle w:val="BodyText"/>
      </w:pPr>
      <w:r>
        <w:rPr>
          <w:bCs/>
          <w:b/>
        </w:rPr>
        <w:t xml:space="preserve">Wichtige IPv6-Adressen: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::1</w:t>
      </w:r>
      <w:r>
        <w:t xml:space="preserve"> </w:t>
      </w:r>
      <w:r>
        <w:t xml:space="preserve">= Loopback (wie 127.0.0.1)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fe80::/10</w:t>
      </w:r>
      <w:r>
        <w:t xml:space="preserve"> </w:t>
      </w:r>
      <w:r>
        <w:t xml:space="preserve">= Link-Local (wie 169.254.x.x)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2000::/3</w:t>
      </w:r>
      <w:r>
        <w:t xml:space="preserve"> </w:t>
      </w:r>
      <w:r>
        <w:t xml:space="preserve">= Global Unicast (öffentlich)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Stand: April 2026 — basierend auf dem IHK-Prüfungskatalog ab 2025</w:t>
      </w:r>
      <w:r>
        <w:t xml:space="preserve"> </w:t>
      </w:r>
      <w:r>
        <w:t xml:space="preserve">-e</w:t>
      </w:r>
    </w:p>
    <w:bookmarkEnd w:id="37"/>
    <w:bookmarkEnd w:id="38"/>
    <w:bookmarkStart w:id="64" w:name="ap2-lernzettel-netzwerk-troubleshooting"/>
    <w:p>
      <w:pPr>
        <w:pStyle w:val="Heading1"/>
      </w:pPr>
      <w:r>
        <w:t xml:space="preserve">AP2-Lernzettel — Netzwerk-Troubleshooting</w:t>
      </w:r>
    </w:p>
    <w:p>
      <w:pPr>
        <w:pStyle w:val="FirstParagraph"/>
      </w:pPr>
      <w:r>
        <w:rPr>
          <w:bCs/>
          <w:b/>
        </w:rPr>
        <w:t xml:space="preserve">Prüfungsrelevanz:</w:t>
      </w:r>
      <w:r>
        <w:t xml:space="preserve"> </w:t>
      </w:r>
      <w:r>
        <w:t xml:space="preserve">FISI-Kern (Prüfungsbereich</w:t>
      </w:r>
      <w:r>
        <w:t xml:space="preserve"> </w:t>
      </w:r>
      <w:r>
        <w:t xml:space="preserve">“</w:t>
      </w:r>
      <w:r>
        <w:t xml:space="preserve">Analyse und Entwicklung von Netzwerken</w:t>
      </w:r>
      <w:r>
        <w:t xml:space="preserve">”</w:t>
      </w:r>
      <w:r>
        <w:t xml:space="preserve">)</w:t>
      </w:r>
      <w:r>
        <w:br/>
      </w:r>
      <w:r>
        <w:rPr>
          <w:bCs/>
          <w:b/>
        </w:rPr>
        <w:t xml:space="preserve">Empfehlung:</w:t>
      </w:r>
      <w:r>
        <w:t xml:space="preserve"> </w:t>
      </w:r>
      <w:r>
        <w:t xml:space="preserve">Fehlersuche immer systematisch — OSI-Schicht für Schicht</w:t>
      </w:r>
    </w:p>
    <w:p>
      <w:r>
        <w:pict>
          <v:rect style="width:0;height:1.5pt" o:hralign="center" o:hrstd="t" o:hr="t"/>
        </w:pict>
      </w:r>
    </w:p>
    <w:bookmarkStart w:id="43" w:name="vlan-virtual-lan"/>
    <w:p>
      <w:pPr>
        <w:pStyle w:val="Heading2"/>
      </w:pPr>
      <w:r>
        <w:t xml:space="preserve">1. VLAN (Virtual LAN)</w:t>
      </w:r>
    </w:p>
    <w:bookmarkStart w:id="39" w:name="grundprinzip"/>
    <w:p>
      <w:pPr>
        <w:pStyle w:val="Heading3"/>
      </w:pPr>
      <w:r>
        <w:t xml:space="preserve">1.1 Grundprinzip</w:t>
      </w:r>
    </w:p>
    <w:p>
      <w:pPr>
        <w:pStyle w:val="FirstParagraph"/>
      </w:pPr>
      <w:r>
        <w:t xml:space="preserve">VLANs trennen ein physisches Netzwerk in</w:t>
      </w:r>
      <w:r>
        <w:t xml:space="preserve"> </w:t>
      </w:r>
      <w:r>
        <w:rPr>
          <w:bCs/>
          <w:b/>
        </w:rPr>
        <w:t xml:space="preserve">logische Segmente</w:t>
      </w:r>
      <w:r>
        <w:t xml:space="preserve">. Geräte in verschiedenen VLANs können nur über einen</w:t>
      </w:r>
      <w:r>
        <w:t xml:space="preserve"> </w:t>
      </w:r>
      <w:r>
        <w:rPr>
          <w:bCs/>
          <w:b/>
        </w:rPr>
        <w:t xml:space="preserve">Router/Layer-3-Switch</w:t>
      </w:r>
      <w:r>
        <w:t xml:space="preserve"> </w:t>
      </w:r>
      <w:r>
        <w:t xml:space="preserve">kommunizieren (Inter-VLAN-Routing).</w:t>
      </w:r>
    </w:p>
    <w:bookmarkEnd w:id="39"/>
    <w:bookmarkStart w:id="40" w:name="port-typen"/>
    <w:p>
      <w:pPr>
        <w:pStyle w:val="Heading3"/>
      </w:pPr>
      <w:r>
        <w:t xml:space="preserve">1.2 Port-Typen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2851"/>
        <w:gridCol w:w="34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Typ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Funktion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VLAN-Tags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Access-Port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Verbindet Endgeräte, gehört zu</w:t>
            </w:r>
            <w:r>
              <w:t xml:space="preserve"> </w:t>
            </w:r>
            <w:r>
              <w:rPr>
                <w:bCs/>
                <w:b/>
              </w:rPr>
              <w:t xml:space="preserve">einem</w:t>
            </w:r>
            <w:r>
              <w:t xml:space="preserve"> </w:t>
            </w:r>
            <w:r>
              <w:t xml:space="preserve">VLAN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Ungetagged (Endgerät merkt nichts)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Trunk-Port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Verbindet Switches untereinander oder Switch↔Router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Tagged</w:t>
            </w:r>
            <w:r>
              <w:t xml:space="preserve"> </w:t>
            </w:r>
            <w:r>
              <w:t xml:space="preserve">(802.1Q) — mehrere VLANs gleichzeitig</w:t>
            </w:r>
          </w:p>
        </w:tc>
      </w:tr>
    </w:tbl>
    <w:bookmarkEnd w:id="40"/>
    <w:bookmarkStart w:id="41" w:name="typische-fehler"/>
    <w:p>
      <w:pPr>
        <w:pStyle w:val="Heading3"/>
      </w:pPr>
      <w:r>
        <w:t xml:space="preserve">1.3 Typische Fehler</w:t>
      </w:r>
    </w:p>
    <w:p>
      <w:pPr>
        <w:numPr>
          <w:ilvl w:val="0"/>
          <w:numId w:val="1005"/>
        </w:numPr>
        <w:pStyle w:val="Compact"/>
      </w:pPr>
      <w:r>
        <w:t xml:space="preserve">VLAN auf dem</w:t>
      </w:r>
      <w:r>
        <w:t xml:space="preserve"> </w:t>
      </w:r>
      <w:r>
        <w:rPr>
          <w:bCs/>
          <w:b/>
        </w:rPr>
        <w:t xml:space="preserve">Trunk nicht erlaubt</w:t>
      </w:r>
      <w:r>
        <w:t xml:space="preserve"> </w:t>
      </w:r>
      <w:r>
        <w:t xml:space="preserve">(Allowed VLANs) → Traffic wird verworfen</w:t>
      </w:r>
    </w:p>
    <w:p>
      <w:pPr>
        <w:numPr>
          <w:ilvl w:val="0"/>
          <w:numId w:val="1005"/>
        </w:numPr>
        <w:pStyle w:val="Compact"/>
      </w:pPr>
      <w:r>
        <w:t xml:space="preserve">Endgerät am</w:t>
      </w:r>
      <w:r>
        <w:t xml:space="preserve"> </w:t>
      </w:r>
      <w:r>
        <w:rPr>
          <w:bCs/>
          <w:b/>
        </w:rPr>
        <w:t xml:space="preserve">falschen Access-Port</w:t>
      </w:r>
      <w:r>
        <w:t xml:space="preserve"> </w:t>
      </w:r>
      <w:r>
        <w:t xml:space="preserve">→ falsches VLAN → falsches Subnetz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Native VLAN</w:t>
      </w:r>
      <w:r>
        <w:t xml:space="preserve"> </w:t>
      </w:r>
      <w:r>
        <w:t xml:space="preserve">auf beiden Trunk-Seiten unterschiedlich → Kommunikationsprobleme</w:t>
      </w:r>
    </w:p>
    <w:bookmarkEnd w:id="41"/>
    <w:bookmarkStart w:id="42" w:name="router-on-a-stick"/>
    <w:p>
      <w:pPr>
        <w:pStyle w:val="Heading3"/>
      </w:pPr>
      <w:r>
        <w:t xml:space="preserve">1.4 Router-on-a-Stick</w:t>
      </w:r>
    </w:p>
    <w:p>
      <w:pPr>
        <w:pStyle w:val="FirstParagraph"/>
      </w:pPr>
      <w:r>
        <w:t xml:space="preserve">Ein Router mit</w:t>
      </w:r>
      <w:r>
        <w:t xml:space="preserve"> </w:t>
      </w:r>
      <w:r>
        <w:rPr>
          <w:bCs/>
          <w:b/>
        </w:rPr>
        <w:t xml:space="preserve">Sub-Interfaces</w:t>
      </w:r>
      <w:r>
        <w:t xml:space="preserve"> </w:t>
      </w:r>
      <w:r>
        <w:t xml:space="preserve">(je eins pro VLAN) auf einem einzigen Trunk-Port. Ermöglicht Inter-VLAN-Routing ohne Layer-3-Switch.</w:t>
      </w:r>
    </w:p>
    <w:p>
      <w:r>
        <w:pict>
          <v:rect style="width:0;height:1.5pt" o:hralign="center" o:hrstd="t" o:hr="t"/>
        </w:pict>
      </w:r>
    </w:p>
    <w:bookmarkEnd w:id="42"/>
    <w:bookmarkEnd w:id="43"/>
    <w:bookmarkStart w:id="48" w:name="firewall-regelwerke"/>
    <w:p>
      <w:pPr>
        <w:pStyle w:val="Heading2"/>
      </w:pPr>
      <w:r>
        <w:t xml:space="preserve">2. Firewall-Regelwerke</w:t>
      </w:r>
    </w:p>
    <w:bookmarkStart w:id="44" w:name="first-match-prinzip"/>
    <w:p>
      <w:pPr>
        <w:pStyle w:val="Heading3"/>
      </w:pPr>
      <w:r>
        <w:t xml:space="preserve">2.1 First-Match-Prinzip</w:t>
      </w:r>
    </w:p>
    <w:p>
      <w:pPr>
        <w:pStyle w:val="FirstParagraph"/>
      </w:pPr>
      <w:r>
        <w:t xml:space="preserve">Regeln werden</w:t>
      </w:r>
      <w:r>
        <w:t xml:space="preserve"> </w:t>
      </w:r>
      <w:r>
        <w:rPr>
          <w:bCs/>
          <w:b/>
        </w:rPr>
        <w:t xml:space="preserve">von oben nach unten</w:t>
      </w:r>
      <w:r>
        <w:t xml:space="preserve"> </w:t>
      </w:r>
      <w:r>
        <w:t xml:space="preserve">geprüft. Die</w:t>
      </w:r>
      <w:r>
        <w:t xml:space="preserve"> </w:t>
      </w:r>
      <w:r>
        <w:rPr>
          <w:bCs/>
          <w:b/>
        </w:rPr>
        <w:t xml:space="preserve">erste</w:t>
      </w:r>
      <w:r>
        <w:t xml:space="preserve"> </w:t>
      </w:r>
      <w:r>
        <w:t xml:space="preserve">passende Regel wird angewendet, alle folgenden ignoriert.</w:t>
      </w:r>
    </w:p>
    <w:p>
      <w:pPr>
        <w:pStyle w:val="BodyText"/>
      </w:pPr>
      <w:r>
        <w:rPr>
          <w:bCs/>
          <w:b/>
        </w:rPr>
        <w:t xml:space="preserve">Konsequenz:</w:t>
      </w:r>
      <w:r>
        <w:t xml:space="preserve"> </w:t>
      </w:r>
      <w:r>
        <w:t xml:space="preserve">Spezifische ALLOW-Regeln müssen</w:t>
      </w:r>
      <w:r>
        <w:t xml:space="preserve"> </w:t>
      </w:r>
      <w:r>
        <w:rPr>
          <w:bCs/>
          <w:b/>
        </w:rPr>
        <w:t xml:space="preserve">vor</w:t>
      </w:r>
      <w:r>
        <w:t xml:space="preserve"> </w:t>
      </w:r>
      <w:r>
        <w:t xml:space="preserve">generellen DENY-Regeln stehen!</w:t>
      </w:r>
    </w:p>
    <w:bookmarkEnd w:id="44"/>
    <w:bookmarkStart w:id="45" w:name="aufbau-einer-firewall-regel"/>
    <w:p>
      <w:pPr>
        <w:pStyle w:val="Heading3"/>
      </w:pPr>
      <w:r>
        <w:t xml:space="preserve">2.2 Aufbau einer Firewall-Regel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Bedeutung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Quelle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IP-Adresse/Subnetz des Absenders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Ziel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IP-Adresse/Subnetz des Empfängers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Protokoll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TCP, UDP, ICMP, Any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Ziel-Port (z.B. 80, 443, 53)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Aktion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ALLOW oder DENY</w:t>
            </w:r>
          </w:p>
        </w:tc>
      </w:tr>
    </w:tbl>
    <w:bookmarkEnd w:id="45"/>
    <w:bookmarkStart w:id="46" w:name="wichtige-ports"/>
    <w:p>
      <w:pPr>
        <w:pStyle w:val="Heading3"/>
      </w:pPr>
      <w:r>
        <w:t xml:space="preserve">2.3 Wichtige Ports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Protokoll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Dienst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20/21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TCP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FTP (Daten/Steuerung)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TCP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SSH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TCP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SMTP (E-Mail senden)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UDP/TCP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67/68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UDP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DHCP (Server/Client)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TCP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HTTP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TCP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POP3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TCP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IMAP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TCP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HTTPS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TCP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SMB (Dateifreigaben)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993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TCP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IMAPS (verschlüsselt)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3389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TCP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RDP</w:t>
            </w:r>
          </w:p>
        </w:tc>
      </w:tr>
    </w:tbl>
    <w:bookmarkEnd w:id="46"/>
    <w:bookmarkStart w:id="47" w:name="typische-fehler-im-regelwerk"/>
    <w:p>
      <w:pPr>
        <w:pStyle w:val="Heading3"/>
      </w:pPr>
      <w:r>
        <w:t xml:space="preserve">2.4 Typische Fehler im Regelwerk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DENY vor ALLOW:</w:t>
      </w:r>
      <w:r>
        <w:t xml:space="preserve"> </w:t>
      </w:r>
      <w:r>
        <w:t xml:space="preserve">Generelle Blockregel steht vor der spezifischen Freigabe → First Match blockiert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Falsches Protokoll:</w:t>
      </w:r>
      <w:r>
        <w:t xml:space="preserve"> </w:t>
      </w:r>
      <w:r>
        <w:t xml:space="preserve">DNS braucht</w:t>
      </w:r>
      <w:r>
        <w:t xml:space="preserve"> </w:t>
      </w:r>
      <w:r>
        <w:rPr>
          <w:bCs/>
          <w:b/>
        </w:rPr>
        <w:t xml:space="preserve">UDP</w:t>
      </w:r>
      <w:r>
        <w:t xml:space="preserve"> </w:t>
      </w:r>
      <w:r>
        <w:t xml:space="preserve">53 (nicht nur TCP)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Falsches Subnetz:</w:t>
      </w:r>
      <w:r>
        <w:t xml:space="preserve"> </w:t>
      </w:r>
      <w:r>
        <w:t xml:space="preserve">Tippfehler in der Quell-/Ziel-IP (z.B. 10.20.20.0 statt 10.20.10.0)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ICMP vergessen:</w:t>
      </w:r>
      <w:r>
        <w:t xml:space="preserve"> </w:t>
      </w:r>
      <w:r>
        <w:t xml:space="preserve">Ping blockiert, obwohl der Dienst (TCP) funktioniert</w:t>
      </w:r>
    </w:p>
    <w:p>
      <w:r>
        <w:pict>
          <v:rect style="width:0;height:1.5pt" o:hralign="center" o:hrstd="t" o:hr="t"/>
        </w:pict>
      </w:r>
    </w:p>
    <w:bookmarkEnd w:id="47"/>
    <w:bookmarkEnd w:id="48"/>
    <w:bookmarkStart w:id="52" w:name="dns-domain-name-system"/>
    <w:p>
      <w:pPr>
        <w:pStyle w:val="Heading2"/>
      </w:pPr>
      <w:r>
        <w:t xml:space="preserve">3. DNS (Domain Name System)</w:t>
      </w:r>
    </w:p>
    <w:bookmarkStart w:id="49" w:name="funktion"/>
    <w:p>
      <w:pPr>
        <w:pStyle w:val="Heading3"/>
      </w:pPr>
      <w:r>
        <w:t xml:space="preserve">3.1 Funktion</w:t>
      </w:r>
    </w:p>
    <w:p>
      <w:pPr>
        <w:pStyle w:val="FirstParagraph"/>
      </w:pPr>
      <w:r>
        <w:t xml:space="preserve">Übersetzt</w:t>
      </w:r>
      <w:r>
        <w:t xml:space="preserve"> </w:t>
      </w:r>
      <w:r>
        <w:rPr>
          <w:bCs/>
          <w:b/>
        </w:rPr>
        <w:t xml:space="preserve">Domainnamen</w:t>
      </w:r>
      <w:r>
        <w:t xml:space="preserve"> </w:t>
      </w:r>
      <w:r>
        <w:t xml:space="preserve">(z.B. www.example.de) in</w:t>
      </w:r>
      <w:r>
        <w:t xml:space="preserve"> </w:t>
      </w:r>
      <w:r>
        <w:rPr>
          <w:bCs/>
          <w:b/>
        </w:rPr>
        <w:t xml:space="preserve">IP-Adressen</w:t>
      </w:r>
      <w:r>
        <w:t xml:space="preserve"> </w:t>
      </w:r>
      <w:r>
        <w:t xml:space="preserve">(z.B. 93.184.216.34).</w:t>
      </w:r>
    </w:p>
    <w:bookmarkEnd w:id="49"/>
    <w:bookmarkStart w:id="50" w:name="wichtige-record-typen"/>
    <w:p>
      <w:pPr>
        <w:pStyle w:val="Heading3"/>
      </w:pPr>
      <w:r>
        <w:t xml:space="preserve">3.2 Wichtige Record-Typen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721"/>
        <w:gridCol w:w="3099"/>
        <w:gridCol w:w="3099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Typ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Funktion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Beispiel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Domain → IPv4-Adresse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www.example.de → 93.184.216.34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AAAA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Domain → IPv6-Adresse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www.example.de → 2606:2800:…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Alias für eine andere Domain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mail.example.de → exchange.example.de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Mailserver für die Domain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example.de → mail.example.de (Prio 10)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TXT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Textinformation (z.B. SPF, DKIM)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SPF: welche Server dürfen Mails senden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PTR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Reverse-DNS (IP → Domain)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93.184.216.34 → www.example.de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Zuständiger Nameserver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example.de → ns1.provider.de</w:t>
            </w:r>
          </w:p>
        </w:tc>
      </w:tr>
    </w:tbl>
    <w:bookmarkEnd w:id="50"/>
    <w:bookmarkStart w:id="51" w:name="typische-dns-probleme"/>
    <w:p>
      <w:pPr>
        <w:pStyle w:val="Heading3"/>
      </w:pPr>
      <w:r>
        <w:t xml:space="preserve">3.3 Typische DNS-Probleme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Ping auf IP funktioniert, auf Name nicht</w:t>
      </w:r>
      <w:r>
        <w:t xml:space="preserve"> </w:t>
      </w:r>
      <w:r>
        <w:t xml:space="preserve">→ DNS-Problem (nicht Netzwerk!)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nslookup zeigt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Non-existent domain</w:t>
      </w:r>
      <w:r>
        <w:rPr>
          <w:bCs/>
          <w:b/>
        </w:rPr>
        <w:t xml:space="preserve">”</w:t>
      </w:r>
      <w:r>
        <w:t xml:space="preserve"> </w:t>
      </w:r>
      <w:r>
        <w:t xml:space="preserve">→ DNS-Eintrag fehlt oder falscher DNS-Server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DNS-Port 53 (UDP) durch Firewall blockiert</w:t>
      </w:r>
      <w:r>
        <w:t xml:space="preserve"> </w:t>
      </w:r>
      <w:r>
        <w:t xml:space="preserve">→ Auflösung schlägt fehl</w:t>
      </w:r>
    </w:p>
    <w:p>
      <w:r>
        <w:pict>
          <v:rect style="width:0;height:1.5pt" o:hralign="center" o:hrstd="t" o:hr="t"/>
        </w:pict>
      </w:r>
    </w:p>
    <w:bookmarkEnd w:id="51"/>
    <w:bookmarkEnd w:id="52"/>
    <w:bookmarkStart w:id="55" w:name="dhcp-dynamic-host-configuration-protocol"/>
    <w:p>
      <w:pPr>
        <w:pStyle w:val="Heading2"/>
      </w:pPr>
      <w:r>
        <w:t xml:space="preserve">4. DHCP (Dynamic Host Configuration Protocol)</w:t>
      </w:r>
    </w:p>
    <w:bookmarkStart w:id="53" w:name="dora-prozess"/>
    <w:p>
      <w:pPr>
        <w:pStyle w:val="Heading3"/>
      </w:pPr>
      <w:r>
        <w:t xml:space="preserve">4.1 DORA-Prozess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Schritt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Nachricht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Richtung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Beschreibung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</w:t>
            </w:r>
            <w:r>
              <w:t xml:space="preserve">iscover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→ Broadcast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Gibt es einen DHCP-Server?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</w:t>
            </w:r>
            <w:r>
              <w:t xml:space="preserve">ffer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Server → Client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Ich biete dir IP x.x.x.x an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</w:t>
            </w:r>
            <w:r>
              <w:t xml:space="preserve">equest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→ Broadcast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Ich nehme das Angebot an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</w:t>
            </w:r>
            <w:r>
              <w:t xml:space="preserve">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Server → Client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Bestätigt, die IP gehört dir</w:t>
            </w:r>
            <w:r>
              <w:t xml:space="preserve">”</w:t>
            </w:r>
          </w:p>
        </w:tc>
      </w:tr>
    </w:tbl>
    <w:bookmarkEnd w:id="53"/>
    <w:bookmarkStart w:id="54" w:name="dhcp-relay-ip-helper-address"/>
    <w:p>
      <w:pPr>
        <w:pStyle w:val="Heading3"/>
      </w:pPr>
      <w:r>
        <w:t xml:space="preserve">4.2 DHCP-Relay (ip helper-address)</w:t>
      </w:r>
    </w:p>
    <w:p>
      <w:pPr>
        <w:pStyle w:val="FirstParagraph"/>
      </w:pPr>
      <w:r>
        <w:rPr>
          <w:bCs/>
          <w:b/>
        </w:rPr>
        <w:t xml:space="preserve">Problem:</w:t>
      </w:r>
      <w:r>
        <w:t xml:space="preserve"> </w:t>
      </w:r>
      <w:r>
        <w:t xml:space="preserve">DHCP-Discover ist ein</w:t>
      </w:r>
      <w:r>
        <w:t xml:space="preserve"> </w:t>
      </w:r>
      <w:r>
        <w:rPr>
          <w:bCs/>
          <w:b/>
        </w:rPr>
        <w:t xml:space="preserve">Broadcast</w:t>
      </w:r>
      <w:r>
        <w:t xml:space="preserve"> </w:t>
      </w:r>
      <w:r>
        <w:t xml:space="preserve">→ wird nicht über Router weitergeleitet.</w:t>
      </w:r>
    </w:p>
    <w:p>
      <w:pPr>
        <w:pStyle w:val="BodyText"/>
      </w:pPr>
      <w:r>
        <w:rPr>
          <w:bCs/>
          <w:b/>
        </w:rPr>
        <w:t xml:space="preserve">Lösung:</w:t>
      </w:r>
      <w:r>
        <w:t xml:space="preserve"> </w:t>
      </w:r>
      <w:r>
        <w:rPr>
          <w:rStyle w:val="VerbatimChar"/>
        </w:rPr>
        <w:t xml:space="preserve">ip helper-address</w:t>
      </w:r>
      <w:r>
        <w:t xml:space="preserve"> </w:t>
      </w:r>
      <w:r>
        <w:t xml:space="preserve">auf dem Router-Interface des Client-Subnetzes. Der Router wandelt den Broadcast in einen</w:t>
      </w:r>
      <w:r>
        <w:t xml:space="preserve"> </w:t>
      </w:r>
      <w:r>
        <w:rPr>
          <w:bCs/>
          <w:b/>
        </w:rPr>
        <w:t xml:space="preserve">Unicast</w:t>
      </w:r>
      <w:r>
        <w:t xml:space="preserve"> </w:t>
      </w:r>
      <w:r>
        <w:t xml:space="preserve">an den DHCP-Server um und fügt die Information hinzu, aus welchem Subnetz die Anfrage kam.</w:t>
      </w:r>
    </w:p>
    <w:p>
      <w:pPr>
        <w:pStyle w:val="BodyText"/>
      </w:pPr>
      <w:r>
        <w:rPr>
          <w:bCs/>
          <w:b/>
        </w:rPr>
        <w:t xml:space="preserve">Konfiguration (Cisco):</w:t>
      </w:r>
    </w:p>
    <w:p>
      <w:pPr>
        <w:pStyle w:val="SourceCode"/>
      </w:pPr>
      <w:r>
        <w:rPr>
          <w:rStyle w:val="VerbatimChar"/>
        </w:rPr>
        <w:t xml:space="preserve">interface GigabitEthernet0/1</w:t>
      </w:r>
      <w:r>
        <w:br/>
      </w:r>
      <w:r>
        <w:rPr>
          <w:rStyle w:val="VerbatimChar"/>
        </w:rPr>
        <w:t xml:space="preserve">  ip helper-address 10.0.0.5    ← IP des DHCP-Servers</w:t>
      </w:r>
    </w:p>
    <w:p>
      <w:r>
        <w:pict>
          <v:rect style="width:0;height:1.5pt" o:hralign="center" o:hrstd="t" o:hr="t"/>
        </w:pict>
      </w:r>
    </w:p>
    <w:bookmarkEnd w:id="54"/>
    <w:bookmarkEnd w:id="55"/>
    <w:bookmarkStart w:id="58" w:name="nat-pat"/>
    <w:p>
      <w:pPr>
        <w:pStyle w:val="Heading2"/>
      </w:pPr>
      <w:r>
        <w:t xml:space="preserve">5. NAT / PAT</w:t>
      </w:r>
    </w:p>
    <w:bookmarkStart w:id="56" w:name="grundprinzip-1"/>
    <w:p>
      <w:pPr>
        <w:pStyle w:val="Heading3"/>
      </w:pPr>
      <w:r>
        <w:t xml:space="preserve">5.1 Grundprinzip</w:t>
      </w:r>
    </w:p>
    <w:p>
      <w:pPr>
        <w:pStyle w:val="FirstParagraph"/>
      </w:pPr>
      <w:r>
        <w:rPr>
          <w:bCs/>
          <w:b/>
        </w:rPr>
        <w:t xml:space="preserve">NAT (Network Address Translation):</w:t>
      </w:r>
      <w:r>
        <w:t xml:space="preserve"> </w:t>
      </w:r>
      <w:r>
        <w:t xml:space="preserve">Übersetzt private IP-Adressen in öffentliche (und umgekehrt) am Router/Firewall.</w:t>
      </w:r>
    </w:p>
    <w:p>
      <w:pPr>
        <w:pStyle w:val="BodyText"/>
      </w:pPr>
      <w:r>
        <w:rPr>
          <w:bCs/>
          <w:b/>
        </w:rPr>
        <w:t xml:space="preserve">PAT (Port Address Translation / NAT Overload):</w:t>
      </w:r>
      <w:r>
        <w:t xml:space="preserve"> </w:t>
      </w:r>
      <w:r>
        <w:t xml:space="preserve">Mehrere interne IPs teilen sich</w:t>
      </w:r>
      <w:r>
        <w:t xml:space="preserve"> </w:t>
      </w:r>
      <w:r>
        <w:rPr>
          <w:bCs/>
          <w:b/>
        </w:rPr>
        <w:t xml:space="preserve">eine</w:t>
      </w:r>
      <w:r>
        <w:t xml:space="preserve"> </w:t>
      </w:r>
      <w:r>
        <w:t xml:space="preserve">öffentliche IP — Unterscheidung über Portnummern. Standard in den meisten Netzwerken.</w:t>
      </w:r>
    </w:p>
    <w:bookmarkEnd w:id="56"/>
    <w:bookmarkStart w:id="57" w:name="nat-typen"/>
    <w:p>
      <w:pPr>
        <w:pStyle w:val="Heading3"/>
      </w:pPr>
      <w:r>
        <w:t xml:space="preserve">5.2 NAT-Typen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200"/>
        <w:gridCol w:w="57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Typ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Beschreibung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Static NAT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1:1-Zuordnung (eine private ↔ eine öffentliche IP) — für Server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Dynamic NAT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Pool öffentlicher IPs, automatisch zugewiesen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PAT / Overload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Viele private IPs → eine öffentliche IP (über Ports unterschieden)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57"/>
    <w:bookmarkEnd w:id="58"/>
    <w:bookmarkStart w:id="61" w:name="routing"/>
    <w:p>
      <w:pPr>
        <w:pStyle w:val="Heading2"/>
      </w:pPr>
      <w:r>
        <w:t xml:space="preserve">6. Routing</w:t>
      </w:r>
    </w:p>
    <w:bookmarkStart w:id="59" w:name="statisches-vs.-dynamisches-routing"/>
    <w:p>
      <w:pPr>
        <w:pStyle w:val="Heading3"/>
      </w:pPr>
      <w:r>
        <w:t xml:space="preserve">6.1 Statisches vs. dynamisches Routing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810"/>
        <w:gridCol w:w="2299"/>
        <w:gridCol w:w="281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Kriterium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Dynamisch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Konfiguration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Manuell (jede Route einzeln)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Automatisch (Protokoll lernt Routen)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Wartung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Aufwändig bei Änderungen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Selbstanpassend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Protokolle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OSPF, RIP, BGP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Geeignet für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Kleine Netze, Standardrouten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Große, sich ändernde Netze</w:t>
            </w:r>
          </w:p>
        </w:tc>
      </w:tr>
    </w:tbl>
    <w:bookmarkEnd w:id="59"/>
    <w:bookmarkStart w:id="60" w:name="routing-tabelle-lesen"/>
    <w:p>
      <w:pPr>
        <w:pStyle w:val="Heading3"/>
      </w:pPr>
      <w:r>
        <w:t xml:space="preserve">6.2 Routing-Tabelle lesen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Ziel-Netz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Maske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Next Hop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Interface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Metrik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192.168.10.0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/24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direkt verbunden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eth0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10.0.0.0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/8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192.168.10.1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eth0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0.0.0.0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/0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203.0.113.1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eth1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</w:tbl>
    <w:p>
      <w:pPr>
        <w:pStyle w:val="BodyText"/>
      </w:pPr>
      <w:r>
        <w:rPr>
          <w:bCs/>
          <w:b/>
        </w:rPr>
        <w:t xml:space="preserve">Default Route:</w:t>
      </w:r>
      <w:r>
        <w:t xml:space="preserve"> </w:t>
      </w:r>
      <w:r>
        <w:rPr>
          <w:rStyle w:val="VerbatimChar"/>
        </w:rPr>
        <w:t xml:space="preserve">0.0.0.0/0</w:t>
      </w:r>
      <w:r>
        <w:t xml:space="preserve"> </w:t>
      </w:r>
      <w:r>
        <w:t xml:space="preserve">→</w:t>
      </w:r>
      <w:r>
        <w:t xml:space="preserve"> </w:t>
      </w:r>
      <w:r>
        <w:t xml:space="preserve">“</w:t>
      </w:r>
      <w:r>
        <w:t xml:space="preserve">Für alles, was ich nicht kenne, schicke es hierhin</w:t>
      </w:r>
      <w:r>
        <w:t xml:space="preserve">”</w:t>
      </w:r>
      <w:r>
        <w:t xml:space="preserve"> </w:t>
      </w:r>
      <w:r>
        <w:t xml:space="preserve">(Gateway zum Internet).</w:t>
      </w:r>
    </w:p>
    <w:p>
      <w:r>
        <w:pict>
          <v:rect style="width:0;height:1.5pt" o:hralign="center" o:hrstd="t" o:hr="t"/>
        </w:pict>
      </w:r>
    </w:p>
    <w:bookmarkEnd w:id="60"/>
    <w:bookmarkEnd w:id="61"/>
    <w:bookmarkStart w:id="63" w:name="diagnosetools"/>
    <w:p>
      <w:pPr>
        <w:pStyle w:val="Heading2"/>
      </w:pPr>
      <w:r>
        <w:t xml:space="preserve">7. Diagnosetools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848"/>
        <w:gridCol w:w="4488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Tool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Prüft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Typische Ausgabe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Erreichbarkeit (ICMP)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Antwortzeit (RTT), Paketverlust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tracert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traceroute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Weg zum Ziel (Hop für Hop)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Zwischenstationen mit Laufzeit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ipconfig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ifconfig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Eigene Netzwerkkonfiguration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IP, Maske, Gateway, DNS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nslookup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DNS-Auflösung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IP-Adresse zu einem Hostnamen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arp -a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ARP-Cache (IP → MAC-Zuordnung)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Bekannte Geräte im lokalen Netz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netstat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Aktive Verbindungen und offene 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Protokoll, lokale/remote Adresse, Status</w:t>
            </w:r>
          </w:p>
        </w:tc>
      </w:tr>
    </w:tbl>
    <w:bookmarkStart w:id="62" w:name="systematische-fehlersuche-osi-modell"/>
    <w:p>
      <w:pPr>
        <w:pStyle w:val="Heading3"/>
      </w:pPr>
      <w:r>
        <w:t xml:space="preserve">7.1 Systematische Fehlersuche (OSI-Modell)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970"/>
        <w:gridCol w:w="297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Schicht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Prüfung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Tool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(Physisch)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Kabel, LED, Link-Status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Sichtprüfung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(Data Link)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MAC-Adresse, VLAN, Switch-Port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arp -a</w:t>
            </w:r>
            <w:r>
              <w:t xml:space="preserve">, Switch-Config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(Netzwerk)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IP-Konfiguration, Routing, Firewall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tracert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ipconfig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 (Transport)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Port erreichbar? TCP/UDP?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netstat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telnet IP Port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 (Anwendung)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Dienst läuft? DNS korrekt?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nslookup</w:t>
            </w:r>
            <w:r>
              <w:t xml:space="preserve">, Browser, Logs</w:t>
            </w:r>
          </w:p>
        </w:tc>
      </w:tr>
    </w:tbl>
    <w:p>
      <w:pPr>
        <w:pStyle w:val="BodyText"/>
      </w:pPr>
      <w:r>
        <w:rPr>
          <w:bCs/>
          <w:b/>
        </w:rPr>
        <w:t xml:space="preserve">Reihenfolge der Fehlersuche:</w:t>
      </w:r>
      <w:r>
        <w:t xml:space="preserve"> </w:t>
      </w:r>
      <w:r>
        <w:t xml:space="preserve">1. Kann ich mich selbst pingen? (</w:t>
      </w:r>
      <w:r>
        <w:rPr>
          <w:rStyle w:val="VerbatimChar"/>
        </w:rPr>
        <w:t xml:space="preserve">ping 127.0.0.1</w:t>
      </w:r>
      <w:r>
        <w:t xml:space="preserve">) → Netzwerkstack OK?</w:t>
      </w:r>
      <w:r>
        <w:t xml:space="preserve"> </w:t>
      </w:r>
      <w:r>
        <w:t xml:space="preserve">2. Kann ich das Gateway pingen? → Lokales Netz OK?</w:t>
      </w:r>
      <w:r>
        <w:t xml:space="preserve"> </w:t>
      </w:r>
      <w:r>
        <w:t xml:space="preserve">3. Kann ich eine externe IP pingen? (</w:t>
      </w:r>
      <w:r>
        <w:rPr>
          <w:rStyle w:val="VerbatimChar"/>
        </w:rPr>
        <w:t xml:space="preserve">ping 8.8.8.8</w:t>
      </w:r>
      <w:r>
        <w:t xml:space="preserve">) → Internet/Routing OK?</w:t>
      </w:r>
      <w:r>
        <w:t xml:space="preserve"> </w:t>
      </w:r>
      <w:r>
        <w:t xml:space="preserve">4. Kann ich einen Namen auflösen? (</w:t>
      </w:r>
      <w:r>
        <w:rPr>
          <w:rStyle w:val="VerbatimChar"/>
        </w:rPr>
        <w:t xml:space="preserve">nslookup google.de</w:t>
      </w:r>
      <w:r>
        <w:t xml:space="preserve">) → DNS OK?</w:t>
      </w:r>
      <w:r>
        <w:t xml:space="preserve"> </w:t>
      </w:r>
      <w:r>
        <w:t xml:space="preserve">5. Funktioniert der Dienst? (Browser, Port-Test) → Anwendung/Firewall?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Stand: April 2026 — basierend auf dem IHK-Prüfungskatalog ab 2025</w:t>
      </w:r>
      <w:r>
        <w:t xml:space="preserve"> </w:t>
      </w:r>
      <w:r>
        <w:t xml:space="preserve">-e</w:t>
      </w:r>
    </w:p>
    <w:bookmarkEnd w:id="62"/>
    <w:bookmarkEnd w:id="63"/>
    <w:bookmarkEnd w:id="64"/>
    <w:bookmarkStart w:id="85" w:name="Xd3e2c3cf2f1c5e13629dc0b9a3f6644b7a35b7f"/>
    <w:p>
      <w:pPr>
        <w:pStyle w:val="Heading1"/>
      </w:pPr>
      <w:r>
        <w:t xml:space="preserve">AP2-Lernzettel — RAID, Backup &amp; Virtualisierung</w:t>
      </w:r>
    </w:p>
    <w:p>
      <w:pPr>
        <w:pStyle w:val="FirstParagraph"/>
      </w:pPr>
      <w:r>
        <w:rPr>
          <w:bCs/>
          <w:b/>
        </w:rPr>
        <w:t xml:space="preserve">Prüfungsrelevanz:</w:t>
      </w:r>
      <w:r>
        <w:t xml:space="preserve"> </w:t>
      </w:r>
      <w:r>
        <w:t xml:space="preserve">FISI-Kern (Prüfungsbereich</w:t>
      </w:r>
      <w:r>
        <w:t xml:space="preserve"> </w:t>
      </w:r>
      <w:r>
        <w:t xml:space="preserve">“</w:t>
      </w:r>
      <w:r>
        <w:t xml:space="preserve">Konzeption und Administration von IT-Systemen</w:t>
      </w:r>
      <w:r>
        <w:t xml:space="preserve">”</w:t>
      </w:r>
      <w:r>
        <w:t xml:space="preserve">)</w:t>
      </w:r>
      <w:r>
        <w:br/>
      </w:r>
      <w:r>
        <w:rPr>
          <w:bCs/>
          <w:b/>
        </w:rPr>
        <w:t xml:space="preserve">Empfehlung:</w:t>
      </w:r>
      <w:r>
        <w:t xml:space="preserve"> </w:t>
      </w:r>
      <w:r>
        <w:t xml:space="preserve">RAID-Kapazitätsberechnung und Backup-Restore-Reihenfolge unbedingt üben</w:t>
      </w:r>
    </w:p>
    <w:p>
      <w:r>
        <w:pict>
          <v:rect style="width:0;height:1.5pt" o:hralign="center" o:hrstd="t" o:hr="t"/>
        </w:pict>
      </w:r>
    </w:p>
    <w:bookmarkStart w:id="68" w:name="X89233fff48174d436e8a31f57d2bc600f50e5df"/>
    <w:p>
      <w:pPr>
        <w:pStyle w:val="Heading2"/>
      </w:pPr>
      <w:r>
        <w:t xml:space="preserve">1. RAID (Redundant Array of Independent Disks)</w:t>
      </w:r>
    </w:p>
    <w:bookmarkStart w:id="65" w:name="raid-level-im-überblick"/>
    <w:p>
      <w:pPr>
        <w:pStyle w:val="Heading3"/>
      </w:pPr>
      <w:r>
        <w:t xml:space="preserve">1.1 RAID-Level im Überblick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908"/>
        <w:gridCol w:w="1168"/>
        <w:gridCol w:w="1687"/>
        <w:gridCol w:w="1687"/>
        <w:gridCol w:w="2466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Level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Prinzip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Formel Netto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Min. Platten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Tolerierte Ausfälle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RAID 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Striping (Daten verteilt, keine Redundanz)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 × 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RAID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Spiegelung (identische Kopie)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RAID 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Striping + einfache Parität (verteilt)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(n−1) × 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RAID 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Striping + doppelte Parität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(n−2) × 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RAID 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Spiegel-Paare + Striping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(n/2) × 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(gerade)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mind. 1</w:t>
            </w:r>
            <w:r>
              <w:t xml:space="preserve">, max n/2</w:t>
            </w:r>
          </w:p>
        </w:tc>
      </w:tr>
    </w:tbl>
    <w:p>
      <w:pPr>
        <w:pStyle w:val="BodyText"/>
      </w:pPr>
      <w:r>
        <w:t xml:space="preserve">n = Anzahl Platten, C = Kapazität pro Platte</w:t>
      </w:r>
    </w:p>
    <w:bookmarkEnd w:id="65"/>
    <w:bookmarkStart w:id="66" w:name="details-und-empfehlungen"/>
    <w:p>
      <w:pPr>
        <w:pStyle w:val="Heading3"/>
      </w:pPr>
      <w:r>
        <w:t xml:space="preserve">1.2 Details und Empfehlungen</w:t>
      </w:r>
    </w:p>
    <w:p>
      <w:pPr>
        <w:pStyle w:val="FirstParagraph"/>
      </w:pPr>
      <w:r>
        <w:rPr>
          <w:bCs/>
          <w:b/>
        </w:rPr>
        <w:t xml:space="preserve">RAID 0:</w:t>
      </w:r>
      <w:r>
        <w:t xml:space="preserve"> </w:t>
      </w:r>
      <w:r>
        <w:t xml:space="preserve">Nur Performance, kein Schutz. Ein Ausfall = alle Daten verloren. Nur für temporäre Daten.</w:t>
      </w:r>
    </w:p>
    <w:p>
      <w:pPr>
        <w:pStyle w:val="BodyText"/>
      </w:pPr>
      <w:r>
        <w:rPr>
          <w:bCs/>
          <w:b/>
        </w:rPr>
        <w:t xml:space="preserve">RAID 1:</w:t>
      </w:r>
      <w:r>
        <w:t xml:space="preserve"> </w:t>
      </w:r>
      <w:r>
        <w:t xml:space="preserve">Maximale Redundanz, aber nur 50% Netto-Kapazität. Gut für Betriebssysteme.</w:t>
      </w:r>
    </w:p>
    <w:p>
      <w:pPr>
        <w:pStyle w:val="BodyText"/>
      </w:pPr>
      <w:r>
        <w:rPr>
          <w:bCs/>
          <w:b/>
        </w:rPr>
        <w:t xml:space="preserve">RAID 5:</w:t>
      </w:r>
      <w:r>
        <w:t xml:space="preserve"> </w:t>
      </w:r>
      <w:r>
        <w:t xml:space="preserve">Guter Kompromiss aus Kapazität und Sicherheit. Parität verteilt über alle Platten. Bei großen Platten (&gt;4TB): Rebuild dauert lange → Risiko eines zweiten Ausfalls steigt.</w:t>
      </w:r>
    </w:p>
    <w:p>
      <w:pPr>
        <w:pStyle w:val="BodyText"/>
      </w:pPr>
      <w:r>
        <w:rPr>
          <w:bCs/>
          <w:b/>
        </w:rPr>
        <w:t xml:space="preserve">RAID 6:</w:t>
      </w:r>
      <w:r>
        <w:t xml:space="preserve"> </w:t>
      </w:r>
      <w:r>
        <w:t xml:space="preserve">Wie RAID 5, aber mit doppelter Parität. Toleriert garantiert 2 gleichzeitige Ausfälle. Empfohlen für große Platten und kritische Daten.</w:t>
      </w:r>
    </w:p>
    <w:p>
      <w:pPr>
        <w:pStyle w:val="BodyText"/>
      </w:pPr>
      <w:r>
        <w:rPr>
          <w:bCs/>
          <w:b/>
        </w:rPr>
        <w:t xml:space="preserve">RAID 10:</w:t>
      </w:r>
      <w:r>
        <w:t xml:space="preserve"> </w:t>
      </w:r>
      <w:r>
        <w:t xml:space="preserve">Beste Performance + gute Redundanz. Spiegel-Paare werden gestriped. Toleriert Ausfälle, solange nicht beide Platten eines Paares ausfallen. Ideal für Datenbanken/VMs.</w:t>
      </w:r>
    </w:p>
    <w:p>
      <w:pPr>
        <w:pStyle w:val="BodyText"/>
      </w:pPr>
      <w:r>
        <w:rPr>
          <w:bCs/>
          <w:b/>
        </w:rPr>
        <w:t xml:space="preserve">Hot Spare:</w:t>
      </w:r>
      <w:r>
        <w:t xml:space="preserve"> </w:t>
      </w:r>
      <w:r>
        <w:t xml:space="preserve">Reserve-Platte, die eingebaut aber inaktiv ist. Bei Ausfall startet der Rebuild</w:t>
      </w:r>
      <w:r>
        <w:t xml:space="preserve"> </w:t>
      </w:r>
      <w:r>
        <w:rPr>
          <w:bCs/>
          <w:b/>
        </w:rPr>
        <w:t xml:space="preserve">automatisch</w:t>
      </w:r>
      <w:r>
        <w:t xml:space="preserve"> </w:t>
      </w:r>
      <w:r>
        <w:t xml:space="preserve">→ minimiert die Zeit im degradierten Modus.</w:t>
      </w:r>
    </w:p>
    <w:bookmarkEnd w:id="66"/>
    <w:bookmarkStart w:id="67" w:name="rechenbeispiel"/>
    <w:p>
      <w:pPr>
        <w:pStyle w:val="Heading3"/>
      </w:pPr>
      <w:r>
        <w:t xml:space="preserve">1.3 Rechenbeispiel</w:t>
      </w:r>
    </w:p>
    <w:p>
      <w:pPr>
        <w:pStyle w:val="FirstParagraph"/>
      </w:pPr>
      <w:r>
        <w:t xml:space="preserve">8 × 4 TB Festplatten: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RAID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Berechnung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×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 TB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(1 Spiegel-Paar)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TB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(8−1) ×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 TB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(8−2) ×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TB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(8/2) ×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TB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67"/>
    <w:bookmarkEnd w:id="68"/>
    <w:bookmarkStart w:id="74" w:name="backup-strategien"/>
    <w:p>
      <w:pPr>
        <w:pStyle w:val="Heading2"/>
      </w:pPr>
      <w:r>
        <w:t xml:space="preserve">2. Backup-Strategien</w:t>
      </w:r>
    </w:p>
    <w:bookmarkStart w:id="69" w:name="sicherungsarten"/>
    <w:p>
      <w:pPr>
        <w:pStyle w:val="Heading3"/>
      </w:pPr>
      <w:r>
        <w:t xml:space="preserve">2.1 Sicherungsarten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600"/>
        <w:gridCol w:w="2280"/>
        <w:gridCol w:w="1320"/>
        <w:gridCol w:w="1800"/>
        <w:gridCol w:w="1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Was wird gesichert?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Archivbit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Speicherbedarf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Restore-Aufwand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Vollsicherung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Alle</w:t>
            </w:r>
            <w:r>
              <w:t xml:space="preserve"> </w:t>
            </w:r>
            <w:r>
              <w:t xml:space="preserve">Daten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Wird zurückgesetzt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Gering (1 Medium)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Inkrementell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Nur</w:t>
            </w:r>
            <w:r>
              <w:t xml:space="preserve"> </w:t>
            </w:r>
            <w:r>
              <w:rPr>
                <w:bCs/>
                <w:b/>
              </w:rPr>
              <w:t xml:space="preserve">seit letzter Sicherung</w:t>
            </w:r>
            <w:r>
              <w:t xml:space="preserve"> </w:t>
            </w:r>
            <w:r>
              <w:t xml:space="preserve">(egal welcher) Geändertes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Wird zurückgesetzt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Niedrig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Hoch</w:t>
            </w:r>
            <w:r>
              <w:t xml:space="preserve"> </w:t>
            </w:r>
            <w:r>
              <w:t xml:space="preserve">(Voll + alle Inkr.)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Differentiell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Alles</w:t>
            </w:r>
            <w:r>
              <w:t xml:space="preserve"> </w:t>
            </w:r>
            <w:r>
              <w:rPr>
                <w:bCs/>
                <w:b/>
              </w:rPr>
              <w:t xml:space="preserve">seit letzter Vollsicherung</w:t>
            </w:r>
            <w:r>
              <w:t xml:space="preserve"> </w:t>
            </w:r>
            <w:r>
              <w:t xml:space="preserve">Geändertes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Bleibt stehen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Mittel (wächst tägl.)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Mittel</w:t>
            </w:r>
            <w:r>
              <w:t xml:space="preserve"> </w:t>
            </w:r>
            <w:r>
              <w:t xml:space="preserve">(Voll + 1 Diff.)</w:t>
            </w:r>
          </w:p>
        </w:tc>
      </w:tr>
    </w:tbl>
    <w:bookmarkEnd w:id="69"/>
    <w:bookmarkStart w:id="70" w:name="archivbit"/>
    <w:p>
      <w:pPr>
        <w:pStyle w:val="Heading3"/>
      </w:pPr>
      <w:r>
        <w:t xml:space="preserve">2.2 Archivbit</w:t>
      </w:r>
    </w:p>
    <w:p>
      <w:pPr>
        <w:pStyle w:val="FirstParagraph"/>
      </w:pPr>
      <w:r>
        <w:t xml:space="preserve">Das Dateisystem-Attribut zeigt an, ob eine Datei seit der letzten Sicherung geändert wurde:</w:t>
      </w:r>
      <w:r>
        <w:t xml:space="preserve"> </w:t>
      </w:r>
      <w:r>
        <w:t xml:space="preserve">- Datei erstellt/geändert → Archivbit</w:t>
      </w:r>
      <w:r>
        <w:t xml:space="preserve"> </w:t>
      </w:r>
      <w:r>
        <w:rPr>
          <w:bCs/>
          <w:b/>
        </w:rPr>
        <w:t xml:space="preserve">gesetzt</w:t>
      </w:r>
      <w:r>
        <w:t xml:space="preserve"> </w:t>
      </w:r>
      <w:r>
        <w:t xml:space="preserve">- Vollsicherung → sichert alles,</w:t>
      </w:r>
      <w:r>
        <w:t xml:space="preserve"> </w:t>
      </w:r>
      <w:r>
        <w:rPr>
          <w:bCs/>
          <w:b/>
        </w:rPr>
        <w:t xml:space="preserve">setzt zurück</w:t>
      </w:r>
      <w:r>
        <w:t xml:space="preserve"> </w:t>
      </w:r>
      <w:r>
        <w:t xml:space="preserve">- Inkrementell → sichert gesetzte,</w:t>
      </w:r>
      <w:r>
        <w:t xml:space="preserve"> </w:t>
      </w:r>
      <w:r>
        <w:rPr>
          <w:bCs/>
          <w:b/>
        </w:rPr>
        <w:t xml:space="preserve">setzt zurück</w:t>
      </w:r>
      <w:r>
        <w:t xml:space="preserve"> </w:t>
      </w:r>
      <w:r>
        <w:t xml:space="preserve">- Differentiell → sichert gesetzte,</w:t>
      </w:r>
      <w:r>
        <w:t xml:space="preserve"> </w:t>
      </w:r>
      <w:r>
        <w:rPr>
          <w:bCs/>
          <w:b/>
        </w:rPr>
        <w:t xml:space="preserve">lässt stehen</w:t>
      </w:r>
      <w:r>
        <w:t xml:space="preserve"> </w:t>
      </w:r>
      <w:r>
        <w:t xml:space="preserve">(daher kumulativ!)</w:t>
      </w:r>
    </w:p>
    <w:bookmarkEnd w:id="70"/>
    <w:bookmarkStart w:id="71" w:name="restore-reihenfolge-prüfungsklassiker"/>
    <w:p>
      <w:pPr>
        <w:pStyle w:val="Heading3"/>
      </w:pPr>
      <w:r>
        <w:t xml:space="preserve">2.3 Restore-Reihenfolge (Prüfungsklassiker!)</w:t>
      </w:r>
    </w:p>
    <w:p>
      <w:pPr>
        <w:pStyle w:val="FirstParagraph"/>
      </w:pPr>
      <w:r>
        <w:rPr>
          <w:bCs/>
          <w:b/>
        </w:rPr>
        <w:t xml:space="preserve">Inkrementell — Ausfall am Donnerstag:</w:t>
      </w:r>
      <w:r>
        <w:t xml:space="preserve"> </w:t>
      </w:r>
      <w:r>
        <w:t xml:space="preserve">1. Vollsicherung (Montag)</w:t>
      </w:r>
      <w:r>
        <w:t xml:space="preserve"> </w:t>
      </w:r>
      <w:r>
        <w:t xml:space="preserve">2. Inkr. Dienstag</w:t>
      </w:r>
      <w:r>
        <w:t xml:space="preserve"> </w:t>
      </w:r>
      <w:r>
        <w:t xml:space="preserve">3. Inkr. Mittwoch</w:t>
      </w:r>
      <w:r>
        <w:t xml:space="preserve"> </w:t>
      </w:r>
      <w:r>
        <w:t xml:space="preserve">→</w:t>
      </w:r>
      <w:r>
        <w:t xml:space="preserve"> </w:t>
      </w:r>
      <w:r>
        <w:rPr>
          <w:bCs/>
          <w:b/>
        </w:rPr>
        <w:t xml:space="preserve">3 Medien nötig</w:t>
      </w:r>
      <w:r>
        <w:t xml:space="preserve">, in chronologischer Reihenfolge</w:t>
      </w:r>
    </w:p>
    <w:p>
      <w:pPr>
        <w:pStyle w:val="BodyText"/>
      </w:pPr>
      <w:r>
        <w:rPr>
          <w:bCs/>
          <w:b/>
        </w:rPr>
        <w:t xml:space="preserve">Differentiell — Ausfall am Donnerstag:</w:t>
      </w:r>
      <w:r>
        <w:t xml:space="preserve"> </w:t>
      </w:r>
      <w:r>
        <w:t xml:space="preserve">1. Vollsicherung (Montag)</w:t>
      </w:r>
      <w:r>
        <w:t xml:space="preserve"> </w:t>
      </w:r>
      <w:r>
        <w:t xml:space="preserve">2. Diff. Mittwoch (enthält bereits Di+Mi)</w:t>
      </w:r>
      <w:r>
        <w:t xml:space="preserve"> </w:t>
      </w:r>
      <w:r>
        <w:t xml:space="preserve">→</w:t>
      </w:r>
      <w:r>
        <w:t xml:space="preserve"> </w:t>
      </w:r>
      <w:r>
        <w:rPr>
          <w:bCs/>
          <w:b/>
        </w:rPr>
        <w:t xml:space="preserve">2 Medien nötig</w:t>
      </w:r>
    </w:p>
    <w:bookmarkEnd w:id="71"/>
    <w:bookmarkStart w:id="72" w:name="speicherbedarf-berechnen"/>
    <w:p>
      <w:pPr>
        <w:pStyle w:val="Heading3"/>
      </w:pPr>
      <w:r>
        <w:t xml:space="preserve">2.4 Speicherbedarf berechnen</w:t>
      </w:r>
    </w:p>
    <w:p>
      <w:pPr>
        <w:pStyle w:val="FirstParagraph"/>
      </w:pPr>
      <w:r>
        <w:t xml:space="preserve">Gesamtbestand 500 GB, tägliche Änderung 20 GB:</w:t>
      </w:r>
    </w:p>
    <w:p>
      <w:pPr>
        <w:pStyle w:val="BodyText"/>
      </w:pPr>
      <w:r>
        <w:rPr>
          <w:bCs/>
          <w:b/>
        </w:rPr>
        <w:t xml:space="preserve">Inkrementell (Mo–Fr):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Tag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Menge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Kumuliert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Voll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Inkr.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Inkr.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Inkr.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Inkr.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580</w:t>
            </w:r>
          </w:p>
        </w:tc>
      </w:tr>
    </w:tbl>
    <w:p>
      <w:pPr>
        <w:pStyle w:val="BodyText"/>
      </w:pPr>
      <w:r>
        <w:rPr>
          <w:bCs/>
          <w:b/>
        </w:rPr>
        <w:t xml:space="preserve">Differentiell (Mo–Fr):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Tag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Menge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Kumuliert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Voll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Diff.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Diff.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Diff.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Diff.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</w:t>
            </w:r>
          </w:p>
        </w:tc>
      </w:tr>
    </w:tbl>
    <w:bookmarkEnd w:id="72"/>
    <w:bookmarkStart w:id="73" w:name="die-3-2-1-regel"/>
    <w:p>
      <w:pPr>
        <w:pStyle w:val="Heading3"/>
      </w:pPr>
      <w:r>
        <w:t xml:space="preserve">2.5 Die 3-2-1-Regel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080"/>
        <w:gridCol w:w="48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Regel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Bedeutung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</w:t>
            </w:r>
            <w:r>
              <w:t xml:space="preserve"> </w:t>
            </w:r>
            <w:r>
              <w:t xml:space="preserve">Kopien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Original + 2 Sicherungskopien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</w:t>
            </w:r>
            <w:r>
              <w:t xml:space="preserve"> </w:t>
            </w:r>
            <w:r>
              <w:t xml:space="preserve">Medientypen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z.B. NAS + LTO-Band (nicht alles auf gleicher Technik)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</w:t>
            </w:r>
            <w:r>
              <w:t xml:space="preserve"> </w:t>
            </w:r>
            <w:r>
              <w:t xml:space="preserve">Offsite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Mindestens 1 Kopie an anderem Standort (Brand/Diebstahl-Schutz)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73"/>
    <w:bookmarkEnd w:id="74"/>
    <w:bookmarkStart w:id="79" w:name="virtualisierung"/>
    <w:p>
      <w:pPr>
        <w:pStyle w:val="Heading2"/>
      </w:pPr>
      <w:r>
        <w:t xml:space="preserve">3. Virtualisierung</w:t>
      </w:r>
    </w:p>
    <w:bookmarkStart w:id="75" w:name="hypervisor-typen"/>
    <w:p>
      <w:pPr>
        <w:pStyle w:val="Heading3"/>
      </w:pPr>
      <w:r>
        <w:t xml:space="preserve">3.1 Hypervisor-Typen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414"/>
        <w:gridCol w:w="3677"/>
        <w:gridCol w:w="2828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Typ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Beschreibung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Beispiele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Typ 1 (Bare-Metal)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Läuft direkt auf Hardware, kein Host-OS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VMware ESXi, Proxmox VE, Hyper-V Server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Typ 2 (Hosted)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Läuft als Anwendung auf einem Host-OS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VirtualBox, VMware Workstation</w:t>
            </w:r>
          </w:p>
        </w:tc>
      </w:tr>
    </w:tbl>
    <w:p>
      <w:pPr>
        <w:pStyle w:val="BodyText"/>
      </w:pPr>
      <w:r>
        <w:t xml:space="preserve">Für Produktivumgebungen →</w:t>
      </w:r>
      <w:r>
        <w:t xml:space="preserve"> </w:t>
      </w:r>
      <w:r>
        <w:rPr>
          <w:bCs/>
          <w:b/>
        </w:rPr>
        <w:t xml:space="preserve">immer Typ 1</w:t>
      </w:r>
      <w:r>
        <w:t xml:space="preserve"> </w:t>
      </w:r>
      <w:r>
        <w:t xml:space="preserve">(bessere Performance, Sicherheit, kein OS-Overhead).</w:t>
      </w:r>
    </w:p>
    <w:bookmarkEnd w:id="75"/>
    <w:bookmarkStart w:id="76" w:name="vorteile-der-virtualisierung"/>
    <w:p>
      <w:pPr>
        <w:pStyle w:val="Heading3"/>
      </w:pPr>
      <w:r>
        <w:t xml:space="preserve">3.2 Vorteile der Virtualisierung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Kostenersparnis:</w:t>
      </w:r>
      <w:r>
        <w:t xml:space="preserve"> </w:t>
      </w:r>
      <w:r>
        <w:t xml:space="preserve">Weniger physische Server → weniger Strom, Kühlung, Platz, Wartung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Bessere Auslastung:</w:t>
      </w:r>
      <w:r>
        <w:t xml:space="preserve"> </w:t>
      </w:r>
      <w:r>
        <w:t xml:space="preserve">Statt 5 Server mit je 10% Auslastung → 1 Server mit 50%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Flexibilität:</w:t>
      </w:r>
      <w:r>
        <w:t xml:space="preserve"> </w:t>
      </w:r>
      <w:r>
        <w:t xml:space="preserve">VMs in Minuten erstellen, klonen, migrieren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Snapshots:</w:t>
      </w:r>
      <w:r>
        <w:t xml:space="preserve"> </w:t>
      </w:r>
      <w:r>
        <w:t xml:space="preserve">Momentaufnahme vor Updates → schnelles Rollback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Isolation:</w:t>
      </w:r>
      <w:r>
        <w:t xml:space="preserve"> </w:t>
      </w:r>
      <w:r>
        <w:t xml:space="preserve">VMs sind voneinander getrennt (Sicherheit)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Disaster Recovery:</w:t>
      </w:r>
      <w:r>
        <w:t xml:space="preserve"> </w:t>
      </w:r>
      <w:r>
        <w:t xml:space="preserve">VM-Images auf Ersatz-Hardware starten</w:t>
      </w:r>
    </w:p>
    <w:bookmarkEnd w:id="76"/>
    <w:bookmarkStart w:id="77" w:name="virtualisierung-vs.-containerisierung"/>
    <w:p>
      <w:pPr>
        <w:pStyle w:val="Heading3"/>
      </w:pPr>
      <w:r>
        <w:t xml:space="preserve">3.3 Virtualisierung vs. Containerisierung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489"/>
        <w:gridCol w:w="1131"/>
        <w:gridCol w:w="4299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Kriterium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Container (Docker)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Enthält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Vollständiges OS + Anwendung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Nur Anwendung + Abhängigkeiten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Kernel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Eigener</w:t>
            </w:r>
            <w:r>
              <w:t xml:space="preserve"> </w:t>
            </w:r>
            <w:r>
              <w:t xml:space="preserve">Kernel pro VM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Geteilter</w:t>
            </w:r>
            <w:r>
              <w:t xml:space="preserve"> </w:t>
            </w:r>
            <w:r>
              <w:t xml:space="preserve">Host-Kernel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Größe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GB (gesamtes OS)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MB (nur App)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Startzeit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Minuten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Sekunden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Isolation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Stark (eigener Kernel)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Prozess-Isolation (schwächer)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OS-Mix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Windows + Linux parallel möglich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Nur gleiches OS wie Host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Einsatz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Infrastruktur (DC, DB, Fileserver)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Microservices, CI/CD</w:t>
            </w:r>
          </w:p>
        </w:tc>
      </w:tr>
    </w:tbl>
    <w:bookmarkEnd w:id="77"/>
    <w:bookmarkStart w:id="78" w:name="hardware-dimensionierung-prüfungsaufgabe"/>
    <w:p>
      <w:pPr>
        <w:pStyle w:val="Heading3"/>
      </w:pPr>
      <w:r>
        <w:t xml:space="preserve">3.4 Hardware-Dimensionierung (Prüfungsaufgabe!)</w:t>
      </w:r>
    </w:p>
    <w:p>
      <w:pPr>
        <w:pStyle w:val="FirstParagraph"/>
      </w:pPr>
      <w:r>
        <w:rPr>
          <w:bCs/>
          <w:b/>
        </w:rPr>
        <w:t xml:space="preserve">Formel:</w:t>
      </w:r>
      <w:r>
        <w:t xml:space="preserve"> </w:t>
      </w:r>
      <w:r>
        <w:t xml:space="preserve">1. RAM/Speicher aller VMs</w:t>
      </w:r>
      <w:r>
        <w:t xml:space="preserve"> </w:t>
      </w:r>
      <w:r>
        <w:rPr>
          <w:bCs/>
          <w:b/>
        </w:rPr>
        <w:t xml:space="preserve">addieren</w:t>
      </w:r>
      <w:r>
        <w:t xml:space="preserve"> </w:t>
      </w:r>
      <w:r>
        <w:t xml:space="preserve">2.</w:t>
      </w:r>
      <w:r>
        <w:t xml:space="preserve"> </w:t>
      </w:r>
      <w:r>
        <w:rPr>
          <w:bCs/>
          <w:b/>
        </w:rPr>
        <w:t xml:space="preserve">+ 10% Hypervisor-Overhead</w:t>
      </w:r>
      <w:r>
        <w:t xml:space="preserve"> </w:t>
      </w:r>
      <w:r>
        <w:t xml:space="preserve">3.</w:t>
      </w:r>
      <w:r>
        <w:t xml:space="preserve"> </w:t>
      </w:r>
      <w:r>
        <w:rPr>
          <w:bCs/>
          <w:b/>
        </w:rPr>
        <w:t xml:space="preserve">+ 25% Reserve</w:t>
      </w:r>
      <w:r>
        <w:t xml:space="preserve"> </w:t>
      </w:r>
      <w:r>
        <w:t xml:space="preserve">für Lastspitzen</w:t>
      </w:r>
      <w:r>
        <w:t xml:space="preserve"> </w:t>
      </w:r>
      <w:r>
        <w:t xml:space="preserve">4. Auf nächste gängige Größe aufrunden (32, 64, 128, 256 GB)</w:t>
      </w:r>
    </w:p>
    <w:p>
      <w:r>
        <w:pict>
          <v:rect style="width:0;height:1.5pt" o:hralign="center" o:hrstd="t" o:hr="t"/>
        </w:pict>
      </w:r>
    </w:p>
    <w:bookmarkEnd w:id="78"/>
    <w:bookmarkEnd w:id="79"/>
    <w:bookmarkStart w:id="83" w:name="cloud-computing"/>
    <w:p>
      <w:pPr>
        <w:pStyle w:val="Heading2"/>
      </w:pPr>
      <w:r>
        <w:t xml:space="preserve">4. Cloud Computing</w:t>
      </w:r>
    </w:p>
    <w:bookmarkStart w:id="80" w:name="service-modelle"/>
    <w:p>
      <w:pPr>
        <w:pStyle w:val="Heading3"/>
      </w:pPr>
      <w:r>
        <w:t xml:space="preserve">4.1 Service-Modelle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931"/>
        <w:gridCol w:w="3028"/>
        <w:gridCol w:w="2911"/>
        <w:gridCol w:w="1048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Modell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Was liefert der Anbieter?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Was verwaltet der Kunde?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Beispiel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IaaS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Infrastruktur (VM, Speicher, Netz)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OS, Anwendung, Daten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AWS EC2, Azure VM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Plattform (inkl. OS, Runtime)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Anwendung, Daten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Azure App Service, Heroku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SaaS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Komplette Anwendung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Nur Daten/Konfiguration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Microsoft 365, Salesforce</w:t>
            </w:r>
          </w:p>
        </w:tc>
      </w:tr>
    </w:tbl>
    <w:p>
      <w:pPr>
        <w:pStyle w:val="BodyText"/>
      </w:pPr>
      <w:r>
        <w:rPr>
          <w:bCs/>
          <w:b/>
        </w:rPr>
        <w:t xml:space="preserve">Eselsbrücke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Pizza-Modell</w:t>
      </w:r>
      <w:r>
        <w:rPr>
          <w:bCs/>
          <w:b/>
        </w:rPr>
        <w:t xml:space="preserve">”</w:t>
      </w:r>
      <w:r>
        <w:rPr>
          <w:bCs/>
          <w:b/>
        </w:rPr>
        <w:t xml:space="preserve">:</w:t>
      </w:r>
      <w:r>
        <w:t xml:space="preserve"> </w:t>
      </w:r>
      <w:r>
        <w:t xml:space="preserve">- IaaS = Zutaten geliefert, du backst selbst</w:t>
      </w:r>
      <w:r>
        <w:t xml:space="preserve"> </w:t>
      </w:r>
      <w:r>
        <w:t xml:space="preserve">- PaaS = Teig + Ofen gestellt, du belegst</w:t>
      </w:r>
      <w:r>
        <w:t xml:space="preserve"> </w:t>
      </w:r>
      <w:r>
        <w:t xml:space="preserve">- SaaS = fertige Pizza geliefert</w:t>
      </w:r>
    </w:p>
    <w:bookmarkEnd w:id="80"/>
    <w:bookmarkStart w:id="81" w:name="deployment-modelle"/>
    <w:p>
      <w:pPr>
        <w:pStyle w:val="Heading3"/>
      </w:pPr>
      <w:r>
        <w:t xml:space="preserve">4.2 Deployment-Modelle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017"/>
        <w:gridCol w:w="4902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Modell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Beschreibung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Public Cloud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Geteilte Infrastruktur, öffentlich zugänglich (AWS, Azure)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Private Cloud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Dedizierte Infrastruktur für ein Unternehmen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Hybrid Cloud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Kombination aus Public + Private</w:t>
            </w:r>
          </w:p>
        </w:tc>
      </w:tr>
    </w:tbl>
    <w:bookmarkEnd w:id="81"/>
    <w:bookmarkStart w:id="82" w:name="nas-vs.-san"/>
    <w:p>
      <w:pPr>
        <w:pStyle w:val="Heading3"/>
      </w:pPr>
      <w:r>
        <w:t xml:space="preserve">4.3 NAS vs. SAN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4148"/>
        <w:gridCol w:w="1885"/>
        <w:gridCol w:w="1885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Kriterium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Zugriff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Dateibasiert</w:t>
            </w:r>
            <w:r>
              <w:t xml:space="preserve"> </w:t>
            </w:r>
            <w:r>
              <w:t xml:space="preserve">(SMB/NFS)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Blockbasiert</w:t>
            </w:r>
            <w:r>
              <w:t xml:space="preserve"> </w:t>
            </w:r>
            <w:r>
              <w:t xml:space="preserve">(wie lokale Festplatte)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Netzwerk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Standard-Ethernet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Eigenes Netz (Fibre Channel / iSCSI)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Einsatz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Dateiablage, Backup-Ziel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Datenbanken, VMs (hohe I/O)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Kosten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Günstiger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Teurer, komplexer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82"/>
    <w:bookmarkEnd w:id="83"/>
    <w:bookmarkStart w:id="84" w:name="sichere-datenvernichtung"/>
    <w:p>
      <w:pPr>
        <w:pStyle w:val="Heading2"/>
      </w:pPr>
      <w:r>
        <w:t xml:space="preserve">5. Sichere Datenvernichtung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3813"/>
        <w:gridCol w:w="1466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Methode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Beschreibung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Für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Softwarebasiert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Überschreiben mit Zufallsdaten (NIST 800-88)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HDD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Secure Erase / Cryptographic Erase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ATA-Befehl / interner Schlüssel wird gelöscht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SSD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Degausser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Starkes Magnetfeld zerstört Daten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HDD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Schredder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Physische Zerstörung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HDD + SSD</w:t>
            </w:r>
          </w:p>
        </w:tc>
      </w:tr>
    </w:tbl>
    <w:p>
      <w:pPr>
        <w:pStyle w:val="BodyText"/>
      </w:pPr>
      <w:r>
        <w:rPr>
          <w:bCs/>
          <w:b/>
        </w:rPr>
        <w:t xml:space="preserve">Warum Löschen/Formatieren nicht reicht:</w:t>
      </w:r>
      <w:r>
        <w:t xml:space="preserve"> </w:t>
      </w:r>
      <w:r>
        <w:t xml:space="preserve">Es wird nur der Dateisystemverweis entfernt — die Daten bleiben physisch auf dem Datenträger und können mit Forensik-Tools wiederhergestellt werden.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Stand: April 2026 — basierend auf dem IHK-Prüfungskatalog ab 2025</w:t>
      </w:r>
      <w:r>
        <w:t xml:space="preserve"> </w:t>
      </w:r>
      <w:r>
        <w:t xml:space="preserve">-e</w:t>
      </w:r>
    </w:p>
    <w:bookmarkEnd w:id="84"/>
    <w:bookmarkEnd w:id="85"/>
    <w:bookmarkStart w:id="104" w:name="ap2-lernzettel-sql-datenbanken"/>
    <w:p>
      <w:pPr>
        <w:pStyle w:val="Heading1"/>
      </w:pPr>
      <w:r>
        <w:t xml:space="preserve">AP2-Lernzettel — SQL &amp; Datenbanken</w:t>
      </w:r>
    </w:p>
    <w:p>
      <w:pPr>
        <w:pStyle w:val="FirstParagraph"/>
      </w:pPr>
      <w:r>
        <w:rPr>
          <w:bCs/>
          <w:b/>
        </w:rPr>
        <w:t xml:space="preserve">Prüfungsrelevanz:</w:t>
      </w:r>
      <w:r>
        <w:t xml:space="preserve"> </w:t>
      </w:r>
      <w:r>
        <w:t xml:space="preserve">FIAE-Kern (höchster Stellenwert!), FISI fachübergreifend</w:t>
      </w:r>
      <w:r>
        <w:br/>
      </w:r>
      <w:r>
        <w:rPr>
          <w:bCs/>
          <w:b/>
        </w:rPr>
        <w:t xml:space="preserve">Neuer Katalog ab 2025:</w:t>
      </w:r>
      <w:r>
        <w:t xml:space="preserve"> </w:t>
      </w:r>
      <w:r>
        <w:t xml:space="preserve">SQL-Beiblatt liegt der Prüfung bei, Anomalien/Redundanzen explizit neu</w:t>
      </w:r>
      <w:r>
        <w:br/>
      </w:r>
      <w:r>
        <w:rPr>
          <w:bCs/>
          <w:b/>
        </w:rPr>
        <w:t xml:space="preserve">Empfehlung:</w:t>
      </w:r>
      <w:r>
        <w:t xml:space="preserve"> </w:t>
      </w:r>
      <w:r>
        <w:t xml:space="preserve">SQL-Abfragen aktiv üben — Lesen allein reicht nicht!</w:t>
      </w:r>
    </w:p>
    <w:p>
      <w:r>
        <w:pict>
          <v:rect style="width:0;height:1.5pt" o:hralign="center" o:hrstd="t" o:hr="t"/>
        </w:pict>
      </w:r>
    </w:p>
    <w:bookmarkStart w:id="89" w:name="relationales-datenbankmodell"/>
    <w:p>
      <w:pPr>
        <w:pStyle w:val="Heading2"/>
      </w:pPr>
      <w:r>
        <w:t xml:space="preserve">1. Relationales Datenbankmodell</w:t>
      </w:r>
    </w:p>
    <w:bookmarkStart w:id="86" w:name="grundbegriffe"/>
    <w:p>
      <w:pPr>
        <w:pStyle w:val="Heading3"/>
      </w:pPr>
      <w:r>
        <w:t xml:space="preserve">1.1 Grundbegriffe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564"/>
        <w:gridCol w:w="4356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Begriff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Erklärung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Relation / Tabelle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Strukturierte Sammlung von Datensätzen (Zeilen) mit festen Spalten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Tupel / Datensatz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Eine Zeile in der Tabelle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Attribut / Spalte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Eine Eigenschaft (z.B.</w:t>
            </w:r>
            <w:r>
              <w:t xml:space="preserve"> </w:t>
            </w:r>
            <w:r>
              <w:rPr>
                <w:rStyle w:val="VerbatimChar"/>
              </w:rPr>
              <w:t xml:space="preserve">name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preis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Domäne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Wertebereich eines Attributs (z.B. INT, VARCHAR)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Primärschlüssel (PK)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Identifiziert jeden Datensatz</w:t>
            </w:r>
            <w:r>
              <w:t xml:space="preserve"> </w:t>
            </w:r>
            <w:r>
              <w:rPr>
                <w:bCs/>
                <w:b/>
              </w:rPr>
              <w:t xml:space="preserve">eindeutig</w:t>
            </w:r>
            <w:r>
              <w:t xml:space="preserve">, darf nie NULL sein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Fremdschlüssel (FK)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Verweist auf den PK einer anderen Tabelle → stellt</w:t>
            </w:r>
            <w:r>
              <w:t xml:space="preserve"> </w:t>
            </w:r>
            <w:r>
              <w:rPr>
                <w:bCs/>
                <w:b/>
              </w:rPr>
              <w:t xml:space="preserve">referenzielle Integrität</w:t>
            </w:r>
            <w:r>
              <w:t xml:space="preserve"> </w:t>
            </w:r>
            <w:r>
              <w:t xml:space="preserve">sicher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Zusammengesetzter PK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aus mehreren Spalten (z.B. in Zwischentabellen bei m:n)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Kardinalität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 der Beziehung: 1:1, 1:n, m:n</w:t>
            </w:r>
          </w:p>
        </w:tc>
      </w:tr>
    </w:tbl>
    <w:bookmarkEnd w:id="86"/>
    <w:bookmarkStart w:id="87" w:name="entity-relationship-modell-erm"/>
    <w:p>
      <w:pPr>
        <w:pStyle w:val="Heading3"/>
      </w:pPr>
      <w:r>
        <w:t xml:space="preserve">1.2 Entity-Relationship-Modell (ERM)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Symbol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Bedeutung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Rechteck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Entität</w:t>
            </w:r>
            <w:r>
              <w:t xml:space="preserve"> </w:t>
            </w:r>
            <w:r>
              <w:t xml:space="preserve">(z.B. Kunde, Produkt)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Ellipse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Attribut</w:t>
            </w:r>
            <w:r>
              <w:t xml:space="preserve"> </w:t>
            </w:r>
            <w:r>
              <w:t xml:space="preserve">(z.B. name, preis)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Raute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Beziehung</w:t>
            </w:r>
            <w:r>
              <w:t xml:space="preserve"> </w:t>
            </w:r>
            <w:r>
              <w:t xml:space="preserve">(z.B.</w:t>
            </w:r>
            <w:r>
              <w:t xml:space="preserve"> </w:t>
            </w:r>
            <w:r>
              <w:t xml:space="preserve">“</w:t>
            </w:r>
            <w:r>
              <w:t xml:space="preserve">bestellt</w:t>
            </w:r>
            <w:r>
              <w:t xml:space="preserve">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Linien mit Kardinalitäten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1:1, 1:n, m:n</w:t>
            </w:r>
          </w:p>
        </w:tc>
      </w:tr>
    </w:tbl>
    <w:p>
      <w:pPr>
        <w:pStyle w:val="BodyText"/>
      </w:pPr>
      <w:r>
        <w:rPr>
          <w:bCs/>
          <w:b/>
        </w:rPr>
        <w:t xml:space="preserve">m:n-Beziehung auflösen:</w:t>
      </w:r>
      <w:r>
        <w:t xml:space="preserve"> </w:t>
      </w:r>
      <w:r>
        <w:t xml:space="preserve">Wird über eine</w:t>
      </w:r>
      <w:r>
        <w:t xml:space="preserve"> </w:t>
      </w:r>
      <w:r>
        <w:rPr>
          <w:bCs/>
          <w:b/>
        </w:rPr>
        <w:t xml:space="preserve">Zwischentabelle</w:t>
      </w:r>
      <w:r>
        <w:t xml:space="preserve"> </w:t>
      </w:r>
      <w:r>
        <w:t xml:space="preserve">realisiert, die die PKs beider Tabellen als FKs (und zusammen als PK) enthält.</w:t>
      </w:r>
    </w:p>
    <w:bookmarkEnd w:id="87"/>
    <w:bookmarkStart w:id="88" w:name="datentypen-häufigste"/>
    <w:p>
      <w:pPr>
        <w:pStyle w:val="Heading3"/>
      </w:pPr>
      <w:r>
        <w:t xml:space="preserve">1.3 Datentypen (häufigste)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3484"/>
        <w:gridCol w:w="285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Typ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Verwendung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Beispiel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Ganzzahlen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Kundennummer, Menge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DECIMAL(p,s)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Festkommazahlen (p Stellen, s Nachkommastellen)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Preis:</w:t>
            </w:r>
            <w:r>
              <w:t xml:space="preserve"> </w:t>
            </w:r>
            <w:r>
              <w:rPr>
                <w:rStyle w:val="VerbatimChar"/>
              </w:rPr>
              <w:t xml:space="preserve">DECIMAL(10,2)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VARCHAR(n)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Text variabler Länge (max n Zeichen)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Name:</w:t>
            </w:r>
            <w:r>
              <w:t xml:space="preserve"> </w:t>
            </w:r>
            <w:r>
              <w:rPr>
                <w:rStyle w:val="VerbatimChar"/>
              </w:rPr>
              <w:t xml:space="preserve">VARCHAR(100)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Langer Text ohne Längenbeschränkung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Kommentar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Datum (YYYY-MM-DD)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Bestelldatum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Uhrzeit (HH:MM:SS)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Beginn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Datum + Uhrzeit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Zeitstempel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BOOLEAN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Wahrheitswert (TRUE/FALSE)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Aktiv ja/nein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88"/>
    <w:bookmarkEnd w:id="89"/>
    <w:bookmarkStart w:id="93" w:name="normalisierung"/>
    <w:p>
      <w:pPr>
        <w:pStyle w:val="Heading2"/>
      </w:pPr>
      <w:r>
        <w:t xml:space="preserve">2. Normalisierung</w:t>
      </w:r>
    </w:p>
    <w:bookmarkStart w:id="90" w:name="warum-normalisieren"/>
    <w:p>
      <w:pPr>
        <w:pStyle w:val="Heading3"/>
      </w:pPr>
      <w:r>
        <w:t xml:space="preserve">2.1 Warum normalisieren?</w:t>
      </w:r>
    </w:p>
    <w:p>
      <w:pPr>
        <w:pStyle w:val="FirstParagraph"/>
      </w:pPr>
      <w:r>
        <w:t xml:space="preserve">Vermeidung von</w:t>
      </w:r>
      <w:r>
        <w:t xml:space="preserve"> </w:t>
      </w:r>
      <w:r>
        <w:rPr>
          <w:bCs/>
          <w:b/>
        </w:rPr>
        <w:t xml:space="preserve">Redundanz</w:t>
      </w:r>
      <w:r>
        <w:t xml:space="preserve"> </w:t>
      </w:r>
      <w:r>
        <w:t xml:space="preserve">(doppelte Daten) und</w:t>
      </w:r>
      <w:r>
        <w:t xml:space="preserve"> </w:t>
      </w:r>
      <w:r>
        <w:rPr>
          <w:bCs/>
          <w:b/>
        </w:rPr>
        <w:t xml:space="preserve">Anomalien</w:t>
      </w:r>
      <w:r>
        <w:t xml:space="preserve"> </w:t>
      </w:r>
      <w:r>
        <w:t xml:space="preserve">(Probleme bei INSERT/UPDATE/DELETE).</w:t>
      </w:r>
    </w:p>
    <w:bookmarkEnd w:id="90"/>
    <w:bookmarkStart w:id="91" w:name="die-drei-anomalien-prüfungsrelevant"/>
    <w:p>
      <w:pPr>
        <w:pStyle w:val="Heading3"/>
      </w:pPr>
      <w:r>
        <w:t xml:space="preserve">2.2 Die drei Anomalien (prüfungsrelevant!)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828"/>
        <w:gridCol w:w="2545"/>
        <w:gridCol w:w="2545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Anomalie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Problem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Beispiel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Einfügeanomalie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Neue Daten können nicht eingefügt werden, weil abhängige Daten fehlen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Neuer Kunde ohne Bestellung kann nicht gespeichert werden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Änderungsanomalie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Gleiche Information muss an mehreren Stellen geändert werden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Adressänderung in 50 Bestellzeilen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Löschanomalie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Beim Löschen gehen unbeabsichtigt andere Daten verloren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Letzte Bestellung gelöscht → Kundendaten weg</w:t>
            </w:r>
          </w:p>
        </w:tc>
      </w:tr>
    </w:tbl>
    <w:bookmarkEnd w:id="91"/>
    <w:bookmarkStart w:id="92" w:name="normalformen"/>
    <w:p>
      <w:pPr>
        <w:pStyle w:val="Heading3"/>
      </w:pPr>
      <w:r>
        <w:t xml:space="preserve">2.3 Normalformen</w:t>
      </w:r>
    </w:p>
    <w:p>
      <w:pPr>
        <w:pStyle w:val="FirstParagraph"/>
      </w:pPr>
      <w:r>
        <w:rPr>
          <w:bCs/>
          <w:b/>
        </w:rPr>
        <w:t xml:space="preserve">1. Normalform (1NF):</w:t>
      </w:r>
      <w:r>
        <w:t xml:space="preserve"> </w:t>
      </w:r>
      <w:r>
        <w:t xml:space="preserve">- Alle Attributwerte sind</w:t>
      </w:r>
      <w:r>
        <w:t xml:space="preserve"> </w:t>
      </w:r>
      <w:r>
        <w:rPr>
          <w:bCs/>
          <w:b/>
        </w:rPr>
        <w:t xml:space="preserve">atomar</w:t>
      </w:r>
      <w:r>
        <w:t xml:space="preserve"> </w:t>
      </w:r>
      <w:r>
        <w:t xml:space="preserve">(keine Listen, keine Gruppen in einer Zelle)</w:t>
      </w:r>
      <w:r>
        <w:t xml:space="preserve"> </w:t>
      </w:r>
      <w:r>
        <w:t xml:space="preserve">- Jede Zeile ist eindeutig identifizierbar (PK vorhanden)</w:t>
      </w:r>
    </w:p>
    <w:p>
      <w:pPr>
        <w:pStyle w:val="BodyText"/>
      </w:pPr>
      <w:r>
        <w:rPr>
          <w:bCs/>
          <w:b/>
        </w:rPr>
        <w:t xml:space="preserve">2. Normalform (2NF):</w:t>
      </w:r>
      <w:r>
        <w:t xml:space="preserve"> </w:t>
      </w:r>
      <w:r>
        <w:t xml:space="preserve">- 1NF erfüllt</w:t>
      </w:r>
      <w:r>
        <w:t xml:space="preserve"> </w:t>
      </w:r>
      <w:r>
        <w:t xml:space="preserve">- Jedes Nicht-Schlüssel-Attribut hängt vom</w:t>
      </w:r>
      <w:r>
        <w:t xml:space="preserve"> </w:t>
      </w:r>
      <w:r>
        <w:rPr>
          <w:bCs/>
          <w:b/>
        </w:rPr>
        <w:t xml:space="preserve">gesamten</w:t>
      </w:r>
      <w:r>
        <w:t xml:space="preserve"> </w:t>
      </w:r>
      <w:r>
        <w:t xml:space="preserve">Primärschlüssel ab (nicht nur von einem Teil)</w:t>
      </w:r>
      <w:r>
        <w:t xml:space="preserve"> </w:t>
      </w:r>
      <w:r>
        <w:t xml:space="preserve">- Relevant nur bei</w:t>
      </w:r>
      <w:r>
        <w:t xml:space="preserve"> </w:t>
      </w:r>
      <w:r>
        <w:rPr>
          <w:bCs/>
          <w:b/>
        </w:rPr>
        <w:t xml:space="preserve">zusammengesetztem PK</w:t>
      </w:r>
    </w:p>
    <w:p>
      <w:pPr>
        <w:pStyle w:val="BodyText"/>
      </w:pPr>
      <w:r>
        <w:rPr>
          <w:bCs/>
          <w:b/>
        </w:rPr>
        <w:t xml:space="preserve">3. Normalform (3NF):</w:t>
      </w:r>
      <w:r>
        <w:t xml:space="preserve"> </w:t>
      </w:r>
      <w:r>
        <w:t xml:space="preserve">- 2NF erfüllt</w:t>
      </w:r>
      <w:r>
        <w:t xml:space="preserve"> </w:t>
      </w:r>
      <w:r>
        <w:t xml:space="preserve">- Kein Nicht-Schlüssel-Attribut hängt</w:t>
      </w:r>
      <w:r>
        <w:t xml:space="preserve"> </w:t>
      </w:r>
      <w:r>
        <w:rPr>
          <w:bCs/>
          <w:b/>
        </w:rPr>
        <w:t xml:space="preserve">transitiv</w:t>
      </w:r>
      <w:r>
        <w:t xml:space="preserve"> </w:t>
      </w:r>
      <w:r>
        <w:t xml:space="preserve">(über ein anderes Nicht-Schlüssel-Attribut) vom PK ab</w:t>
      </w:r>
      <w:r>
        <w:t xml:space="preserve"> </w:t>
      </w:r>
      <w:r>
        <w:t xml:space="preserve">- Beispiel-Verstoß:</w:t>
      </w:r>
      <w:r>
        <w:t xml:space="preserve"> </w:t>
      </w:r>
      <w:r>
        <w:rPr>
          <w:rStyle w:val="VerbatimChar"/>
        </w:rPr>
        <w:t xml:space="preserve">PLZ → Ort</w:t>
      </w:r>
      <w:r>
        <w:t xml:space="preserve"> </w:t>
      </w:r>
      <w:r>
        <w:t xml:space="preserve">in einer Kundentabelle (Ort hängt von PLZ ab, nicht direkt vom Kunden-PK)</w:t>
      </w:r>
    </w:p>
    <w:p>
      <w:pPr>
        <w:pStyle w:val="BodyText"/>
      </w:pPr>
      <w:r>
        <w:rPr>
          <w:bCs/>
          <w:b/>
        </w:rPr>
        <w:t xml:space="preserve">Eselsbrücke:</w:t>
      </w:r>
      <w:r>
        <w:t xml:space="preserve"> </w:t>
      </w:r>
      <w:r>
        <w:t xml:space="preserve">“</w:t>
      </w:r>
      <w:r>
        <w:t xml:space="preserve">Jedes Nicht-Schlüssel-Attribut hängt vom</w:t>
      </w:r>
      <w:r>
        <w:t xml:space="preserve"> </w:t>
      </w:r>
      <w:r>
        <w:rPr>
          <w:bCs/>
          <w:b/>
        </w:rPr>
        <w:t xml:space="preserve">ganzen</w:t>
      </w:r>
      <w:r>
        <w:t xml:space="preserve"> </w:t>
      </w:r>
      <w:r>
        <w:t xml:space="preserve">Schlüssel ab und von</w:t>
      </w:r>
      <w:r>
        <w:t xml:space="preserve"> </w:t>
      </w:r>
      <w:r>
        <w:rPr>
          <w:bCs/>
          <w:b/>
        </w:rPr>
        <w:t xml:space="preserve">nichts anderem als dem Schlüssel</w:t>
      </w:r>
      <w:r>
        <w:t xml:space="preserve">.</w:t>
      </w:r>
      <w:r>
        <w:t xml:space="preserve">”</w:t>
      </w:r>
    </w:p>
    <w:p>
      <w:r>
        <w:pict>
          <v:rect style="width:0;height:1.5pt" o:hralign="center" o:hrstd="t" o:hr="t"/>
        </w:pict>
      </w:r>
    </w:p>
    <w:bookmarkEnd w:id="92"/>
    <w:bookmarkEnd w:id="93"/>
    <w:bookmarkStart w:id="100" w:name="sql-datenabfrage-dql"/>
    <w:p>
      <w:pPr>
        <w:pStyle w:val="Heading2"/>
      </w:pPr>
      <w:r>
        <w:t xml:space="preserve">3. SQL — Datenabfrage (DQL)</w:t>
      </w:r>
    </w:p>
    <w:bookmarkStart w:id="94" w:name="grundstruktur-select"/>
    <w:p>
      <w:pPr>
        <w:pStyle w:val="Heading3"/>
      </w:pPr>
      <w:r>
        <w:t xml:space="preserve">3.1 Grundstruktur SELECT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spalte1, spalte2         </w:t>
      </w:r>
      <w:r>
        <w:rPr>
          <w:rStyle w:val="CommentTok"/>
        </w:rPr>
        <w:t xml:space="preserve">-- Was anzeigen?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tabelle                    </w:t>
      </w:r>
      <w:r>
        <w:rPr>
          <w:rStyle w:val="CommentTok"/>
        </w:rPr>
        <w:t xml:space="preserve">-- Woher?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bedingung                 </w:t>
      </w:r>
      <w:r>
        <w:rPr>
          <w:rStyle w:val="CommentTok"/>
        </w:rPr>
        <w:t xml:space="preserve">-- Welche Zeilen? (FILTER VOR Gruppierung)</w:t>
      </w:r>
      <w:r>
        <w:br/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spalte                 </w:t>
      </w:r>
      <w:r>
        <w:rPr>
          <w:rStyle w:val="CommentTok"/>
        </w:rPr>
        <w:t xml:space="preserve">-- Gruppieren</w:t>
      </w:r>
      <w:r>
        <w:br/>
      </w:r>
      <w:r>
        <w:rPr>
          <w:rStyle w:val="KeywordTok"/>
        </w:rPr>
        <w:t xml:space="preserve">HAVING</w:t>
      </w:r>
      <w:r>
        <w:rPr>
          <w:rStyle w:val="NormalTok"/>
        </w:rPr>
        <w:t xml:space="preserve"> bedingung                </w:t>
      </w:r>
      <w:r>
        <w:rPr>
          <w:rStyle w:val="CommentTok"/>
        </w:rPr>
        <w:t xml:space="preserve">-- Welche Gruppen? (FILTER NACH Gruppierung)</w:t>
      </w:r>
      <w:r>
        <w:br/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spalte [</w:t>
      </w:r>
      <w:r>
        <w:rPr>
          <w:rStyle w:val="KeywordTok"/>
        </w:rPr>
        <w:t xml:space="preserve">ASC</w:t>
      </w:r>
      <w:r>
        <w:rPr>
          <w:rStyle w:val="NormalTok"/>
        </w:rPr>
        <w:t xml:space="preserve">|</w:t>
      </w:r>
      <w:r>
        <w:rPr>
          <w:rStyle w:val="KeywordTok"/>
        </w:rPr>
        <w:t xml:space="preserve">DESC</w:t>
      </w:r>
      <w:r>
        <w:rPr>
          <w:rStyle w:val="NormalTok"/>
        </w:rPr>
        <w:t xml:space="preserve">]      </w:t>
      </w:r>
      <w:r>
        <w:rPr>
          <w:rStyle w:val="CommentTok"/>
        </w:rPr>
        <w:t xml:space="preserve">-- Sortieren</w:t>
      </w:r>
      <w:r>
        <w:br/>
      </w:r>
      <w:r>
        <w:rPr>
          <w:rStyle w:val="KeywordTok"/>
        </w:rPr>
        <w:t xml:space="preserve">LIMIT</w:t>
      </w:r>
      <w:r>
        <w:rPr>
          <w:rStyle w:val="NormalTok"/>
        </w:rPr>
        <w:t xml:space="preserve"> anzahl;                   </w:t>
      </w:r>
      <w:r>
        <w:rPr>
          <w:rStyle w:val="CommentTok"/>
        </w:rPr>
        <w:t xml:space="preserve">-- Ergebnisanzahl begrenzen</w:t>
      </w:r>
    </w:p>
    <w:p>
      <w:pPr>
        <w:pStyle w:val="FirstParagraph"/>
      </w:pPr>
      <w:r>
        <w:rPr>
          <w:bCs/>
          <w:b/>
        </w:rPr>
        <w:t xml:space="preserve">Ausführungsreihenfolge:</w:t>
      </w:r>
      <w:r>
        <w:t xml:space="preserve"> </w:t>
      </w:r>
      <w:r>
        <w:t xml:space="preserve">FROM → WHERE → GROUP BY → HAVING → SELECT → ORDER BY → LIMIT</w:t>
      </w:r>
    </w:p>
    <w:bookmarkEnd w:id="94"/>
    <w:bookmarkStart w:id="95" w:name="where-bedingungen"/>
    <w:p>
      <w:pPr>
        <w:pStyle w:val="Heading3"/>
      </w:pPr>
      <w:r>
        <w:t xml:space="preserve">3.2 WHERE — Bedingungen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Operator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Beispiel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Vergleich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WHERE preis &gt; 100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Bereich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WHERE preis BETWEEN 50 AND 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Liste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WHERE status IN ('offen', 'versendet')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Muster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WHERE name LIKE 'M%'</w:t>
            </w:r>
            <w:r>
              <w:t xml:space="preserve"> </w:t>
            </w:r>
            <w:r>
              <w:t xml:space="preserve">(beginnt mit 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NULL-Prüfung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WHERE email IS NULL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IS NOT NULL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Logisch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WHERE preis &gt; 100 AND lager &gt; 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Ungleich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WHERE status &lt;&gt; 'storniert'</w:t>
            </w:r>
          </w:p>
        </w:tc>
      </w:tr>
    </w:tbl>
    <w:p>
      <w:pPr>
        <w:pStyle w:val="BodyText"/>
      </w:pPr>
      <w:r>
        <w:rPr>
          <w:bCs/>
          <w:b/>
        </w:rPr>
        <w:t xml:space="preserve">LIKE-Muster: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= beliebig viele Zeichen,</w:t>
      </w:r>
      <w:r>
        <w:t xml:space="preserve"> </w:t>
      </w:r>
      <w:r>
        <w:rPr>
          <w:rStyle w:val="VerbatimChar"/>
        </w:rPr>
        <w:t xml:space="preserve">_</w:t>
      </w:r>
      <w:r>
        <w:t xml:space="preserve"> </w:t>
      </w:r>
      <w:r>
        <w:t xml:space="preserve">= genau ein Zeichen.</w:t>
      </w:r>
    </w:p>
    <w:bookmarkEnd w:id="95"/>
    <w:bookmarkStart w:id="96" w:name="joins-kernthema"/>
    <w:p>
      <w:pPr>
        <w:pStyle w:val="Heading3"/>
      </w:pPr>
      <w:r>
        <w:t xml:space="preserve">3.3 JOINs (Kernthema!)</w:t>
      </w:r>
    </w:p>
    <w:p>
      <w:pPr>
        <w:pStyle w:val="FirstParagraph"/>
      </w:pPr>
      <w:r>
        <w:rPr>
          <w:bCs/>
          <w:b/>
        </w:rPr>
        <w:t xml:space="preserve">INNER JOIN:</w:t>
      </w:r>
      <w:r>
        <w:t xml:space="preserve"> </w:t>
      </w:r>
      <w:r>
        <w:t xml:space="preserve">Nur Zeilen, die in</w:t>
      </w:r>
      <w:r>
        <w:t xml:space="preserve"> </w:t>
      </w:r>
      <w:r>
        <w:rPr>
          <w:bCs/>
          <w:b/>
        </w:rPr>
        <w:t xml:space="preserve">beiden</w:t>
      </w:r>
      <w:r>
        <w:t xml:space="preserve"> </w:t>
      </w:r>
      <w:r>
        <w:t xml:space="preserve">Tabellen einen Match haben.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k.name, b.datum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kunde k</w:t>
      </w:r>
      <w:r>
        <w:br/>
      </w:r>
      <w:r>
        <w:rPr>
          <w:rStyle w:val="KeywordTok"/>
        </w:rPr>
        <w:t xml:space="preserve">JOIN</w:t>
      </w:r>
      <w:r>
        <w:rPr>
          <w:rStyle w:val="NormalTok"/>
        </w:rPr>
        <w:t xml:space="preserve"> bestellung b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k.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b.kunde_id;</w:t>
      </w:r>
    </w:p>
    <w:p>
      <w:pPr>
        <w:pStyle w:val="FirstParagraph"/>
      </w:pPr>
      <w:r>
        <w:rPr>
          <w:bCs/>
          <w:b/>
        </w:rPr>
        <w:t xml:space="preserve">LEFT JOIN:</w:t>
      </w:r>
      <w:r>
        <w:t xml:space="preserve"> </w:t>
      </w:r>
      <w:r>
        <w:t xml:space="preserve">Alle Zeilen der</w:t>
      </w:r>
      <w:r>
        <w:t xml:space="preserve"> </w:t>
      </w:r>
      <w:r>
        <w:rPr>
          <w:bCs/>
          <w:b/>
        </w:rPr>
        <w:t xml:space="preserve">linken</w:t>
      </w:r>
      <w:r>
        <w:t xml:space="preserve"> </w:t>
      </w:r>
      <w:r>
        <w:t xml:space="preserve">Tabelle, auch ohne Match rechts (rechte Spalten = NULL).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k.name, b.datum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kunde k</w:t>
      </w:r>
      <w:r>
        <w:br/>
      </w:r>
      <w:r>
        <w:rPr>
          <w:rStyle w:val="KeywordTok"/>
        </w:rPr>
        <w:t xml:space="preserve">LEFT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bestellung b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k.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b.kunde_id;</w:t>
      </w:r>
      <w:r>
        <w:br/>
      </w:r>
      <w:r>
        <w:rPr>
          <w:rStyle w:val="CommentTok"/>
        </w:rPr>
        <w:t xml:space="preserve">-- → Auch Kunden OHNE Bestellungen erscheinen (b.datum = NULL)</w:t>
      </w:r>
    </w:p>
    <w:p>
      <w:pPr>
        <w:pStyle w:val="FirstParagraph"/>
      </w:pPr>
      <w:r>
        <w:rPr>
          <w:bCs/>
          <w:b/>
        </w:rPr>
        <w:t xml:space="preserve">Typischer Trick:</w:t>
      </w:r>
      <w:r>
        <w:t xml:space="preserve"> </w:t>
      </w:r>
      <w:r>
        <w:t xml:space="preserve">“</w:t>
      </w:r>
      <w:r>
        <w:t xml:space="preserve">Zeige alle X, die kein Y haben</w:t>
      </w:r>
      <w:r>
        <w:t xml:space="preserve">”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k.name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kunde k</w:t>
      </w:r>
      <w:r>
        <w:br/>
      </w:r>
      <w:r>
        <w:rPr>
          <w:rStyle w:val="KeywordTok"/>
        </w:rPr>
        <w:t xml:space="preserve">LEFT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bestellung b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k.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b.kunde_id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b.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;</w:t>
      </w:r>
      <w:r>
        <w:br/>
      </w:r>
      <w:r>
        <w:rPr>
          <w:rStyle w:val="CommentTok"/>
        </w:rPr>
        <w:t xml:space="preserve">-- → Kunden, die NIE bestellt haben</w:t>
      </w:r>
    </w:p>
    <w:bookmarkEnd w:id="96"/>
    <w:bookmarkStart w:id="97" w:name="aggregatfunktionen-group-by"/>
    <w:p>
      <w:pPr>
        <w:pStyle w:val="Heading3"/>
      </w:pPr>
      <w:r>
        <w:t xml:space="preserve">3.4 Aggregatfunktionen + GROUP BY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443"/>
        <w:gridCol w:w="4476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Funktion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Beschreibung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COUNT(spalte)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Zählt Nicht-NULL-Werte (COUNT(*) zählt alle Zeilen)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SUM(spalte)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Summe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AVG(spalte)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Durchschnitt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MIN(spalte)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Kleinster Wert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MAX(spalte)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Größter Wert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ROUND(wert, 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Runden auf n Nachkommastellen</w:t>
            </w:r>
          </w:p>
        </w:tc>
      </w:tr>
    </w:tbl>
    <w:p>
      <w:pPr>
        <w:pStyle w:val="BodyText"/>
      </w:pPr>
      <w:r>
        <w:rPr>
          <w:bCs/>
          <w:b/>
        </w:rPr>
        <w:t xml:space="preserve">GROUP BY — Gruppieren: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kategorie,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anzahl, </w:t>
      </w:r>
      <w:r>
        <w:rPr>
          <w:rStyle w:val="FunctionTok"/>
        </w:rPr>
        <w:t xml:space="preserve">AVG</w:t>
      </w:r>
      <w:r>
        <w:rPr>
          <w:rStyle w:val="NormalTok"/>
        </w:rPr>
        <w:t xml:space="preserve">(preis)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avg_preis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produkt</w:t>
      </w:r>
      <w:r>
        <w:br/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kategorie;</w:t>
      </w:r>
    </w:p>
    <w:p>
      <w:pPr>
        <w:pStyle w:val="FirstParagraph"/>
      </w:pPr>
      <w:r>
        <w:rPr>
          <w:bCs/>
          <w:b/>
        </w:rPr>
        <w:t xml:space="preserve">HAVING — Gruppen filtern: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kunde_id,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anzahl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bestellung</w:t>
      </w:r>
      <w:r>
        <w:br/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kunde_id</w:t>
      </w:r>
      <w:r>
        <w:br/>
      </w:r>
      <w:r>
        <w:rPr>
          <w:rStyle w:val="KeywordTok"/>
        </w:rPr>
        <w:t xml:space="preserve">HAVING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;   </w:t>
      </w:r>
      <w:r>
        <w:rPr>
          <w:rStyle w:val="CommentTok"/>
        </w:rPr>
        <w:t xml:space="preserve">-- Nur Kunden mit mind. 3 Bestellungen</w:t>
      </w:r>
    </w:p>
    <w:p>
      <w:pPr>
        <w:pStyle w:val="FirstParagraph"/>
      </w:pPr>
      <w:r>
        <w:rPr>
          <w:bCs/>
          <w:b/>
        </w:rPr>
        <w:t xml:space="preserve">WHERE vs. HAVING: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WHERE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HAVING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Filtert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Einzelne</w:t>
            </w:r>
            <w:r>
              <w:t xml:space="preserve"> </w:t>
            </w:r>
            <w:r>
              <w:rPr>
                <w:bCs/>
                <w:b/>
              </w:rPr>
              <w:t xml:space="preserve">Zeilen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Gruppen</w:t>
            </w:r>
            <w:r>
              <w:t xml:space="preserve"> </w:t>
            </w:r>
            <w:r>
              <w:t xml:space="preserve">(nach GROUP BY)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Zeitpunkt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Vor</w:t>
            </w:r>
            <w:r>
              <w:t xml:space="preserve"> </w:t>
            </w:r>
            <w:r>
              <w:t xml:space="preserve">der Gruppierung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Nach</w:t>
            </w:r>
            <w:r>
              <w:t xml:space="preserve"> </w:t>
            </w:r>
            <w:r>
              <w:t xml:space="preserve">der Gruppierung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Aggregatfunktionen?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Nein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Ja</w:t>
            </w:r>
          </w:p>
        </w:tc>
      </w:tr>
    </w:tbl>
    <w:bookmarkEnd w:id="97"/>
    <w:bookmarkStart w:id="98" w:name="subqueries-unterabfragen"/>
    <w:p>
      <w:pPr>
        <w:pStyle w:val="Heading3"/>
      </w:pPr>
      <w:r>
        <w:t xml:space="preserve">3.5 Subqueries (Unterabfragen)</w:t>
      </w:r>
    </w:p>
    <w:p>
      <w:pPr>
        <w:pStyle w:val="SourceCode"/>
      </w:pPr>
      <w:r>
        <w:rPr>
          <w:rStyle w:val="CommentTok"/>
        </w:rPr>
        <w:t xml:space="preserve">-- Produkte, die teurer sind als der Durchschnitt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bezeichnung, preis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produkt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preis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AVG</w:t>
      </w:r>
      <w:r>
        <w:rPr>
          <w:rStyle w:val="NormalTok"/>
        </w:rPr>
        <w:t xml:space="preserve">(preis)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produkt);</w:t>
      </w:r>
    </w:p>
    <w:p>
      <w:pPr>
        <w:pStyle w:val="SourceCode"/>
      </w:pPr>
      <w:r>
        <w:rPr>
          <w:rStyle w:val="CommentTok"/>
        </w:rPr>
        <w:t xml:space="preserve">-- Kunden, die mindestens eine Bestellung haben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name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kunde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DISTINCT</w:t>
      </w:r>
      <w:r>
        <w:rPr>
          <w:rStyle w:val="NormalTok"/>
        </w:rPr>
        <w:t xml:space="preserve"> kunde_id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bestellung);</w:t>
      </w:r>
    </w:p>
    <w:bookmarkEnd w:id="98"/>
    <w:bookmarkStart w:id="99" w:name="berechnete-spalten-und-aliase"/>
    <w:p>
      <w:pPr>
        <w:pStyle w:val="Heading3"/>
      </w:pPr>
      <w:r>
        <w:t xml:space="preserve">3.6 Berechnete Spalten und Aliase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bezeichnung,</w:t>
      </w:r>
      <w:r>
        <w:br/>
      </w:r>
      <w:r>
        <w:rPr>
          <w:rStyle w:val="NormalTok"/>
        </w:rPr>
        <w:t xml:space="preserve">       menge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einzelpreis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positionswert,  </w:t>
      </w:r>
      <w:r>
        <w:rPr>
          <w:rStyle w:val="CommentTok"/>
        </w:rPr>
        <w:t xml:space="preserve">-- berechnete Spalte</w:t>
      </w:r>
      <w:r>
        <w:br/>
      </w:r>
      <w:r>
        <w:rPr>
          <w:rStyle w:val="NormalTok"/>
        </w:rPr>
        <w:t xml:space="preserve">      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(preis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1.19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brutto       </w:t>
      </w:r>
      <w:r>
        <w:rPr>
          <w:rStyle w:val="CommentTok"/>
        </w:rPr>
        <w:t xml:space="preserve">-- mit Rundung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position;</w:t>
      </w:r>
    </w:p>
    <w:p>
      <w:r>
        <w:pict>
          <v:rect style="width:0;height:1.5pt" o:hralign="center" o:hrstd="t" o:hr="t"/>
        </w:pict>
      </w:r>
    </w:p>
    <w:bookmarkEnd w:id="99"/>
    <w:bookmarkEnd w:id="100"/>
    <w:bookmarkStart w:id="101" w:name="sql-datenmanipulation-dml"/>
    <w:p>
      <w:pPr>
        <w:pStyle w:val="Heading2"/>
      </w:pPr>
      <w:r>
        <w:t xml:space="preserve">4. SQL — Datenmanipulation (DML)</w:t>
      </w:r>
    </w:p>
    <w:p>
      <w:pPr>
        <w:pStyle w:val="FirstParagraph"/>
      </w:pPr>
      <w:r>
        <w:rPr>
          <w:bCs/>
          <w:b/>
        </w:rPr>
        <w:t xml:space="preserve">INSERT — Einfügen:</w:t>
      </w:r>
    </w:p>
    <w:p>
      <w:pPr>
        <w:pStyle w:val="SourceCode"/>
      </w:pP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kunde (name, email, ort)</w:t>
      </w:r>
      <w:r>
        <w:br/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'Max Mustermann'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'max@mail.de'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'Kiel'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bCs/>
          <w:b/>
        </w:rPr>
        <w:t xml:space="preserve">UPDATE — Ändern:</w:t>
      </w:r>
    </w:p>
    <w:p>
      <w:pPr>
        <w:pStyle w:val="SourceCode"/>
      </w:pPr>
      <w:r>
        <w:rPr>
          <w:rStyle w:val="KeywordTok"/>
        </w:rPr>
        <w:t xml:space="preserve">UPDATE</w:t>
      </w:r>
      <w:r>
        <w:rPr>
          <w:rStyle w:val="NormalTok"/>
        </w:rPr>
        <w:t xml:space="preserve"> produkt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preis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139.00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produkt_id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104</w:t>
      </w:r>
      <w:r>
        <w:rPr>
          <w:rStyle w:val="NormalTok"/>
        </w:rPr>
        <w:t xml:space="preserve">;</w:t>
      </w:r>
      <w:r>
        <w:br/>
      </w:r>
      <w:r>
        <w:rPr>
          <w:rStyle w:val="CommentTok"/>
        </w:rPr>
        <w:t xml:space="preserve">-- ACHTUNG: Ohne WHERE werden ALLE Zeilen geändert!</w:t>
      </w:r>
    </w:p>
    <w:p>
      <w:pPr>
        <w:pStyle w:val="FirstParagraph"/>
      </w:pPr>
      <w:r>
        <w:rPr>
          <w:bCs/>
          <w:b/>
        </w:rPr>
        <w:t xml:space="preserve">DELETE — Löschen:</w:t>
      </w:r>
    </w:p>
    <w:p>
      <w:pPr>
        <w:pStyle w:val="SourceCode"/>
      </w:pPr>
      <w:r>
        <w:rPr>
          <w:rStyle w:val="KeywordTok"/>
        </w:rPr>
        <w:t xml:space="preserve">DELETE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bestellung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'storniert'</w:t>
      </w:r>
      <w:r>
        <w:rPr>
          <w:rStyle w:val="NormalTok"/>
        </w:rPr>
        <w:t xml:space="preserve">;</w:t>
      </w:r>
      <w:r>
        <w:br/>
      </w:r>
      <w:r>
        <w:rPr>
          <w:rStyle w:val="CommentTok"/>
        </w:rPr>
        <w:t xml:space="preserve">-- ACHTUNG: Ohne WHERE werden ALLE Zeilen gelöscht!</w:t>
      </w:r>
    </w:p>
    <w:p>
      <w:r>
        <w:pict>
          <v:rect style="width:0;height:1.5pt" o:hralign="center" o:hrstd="t" o:hr="t"/>
        </w:pict>
      </w:r>
    </w:p>
    <w:bookmarkEnd w:id="101"/>
    <w:bookmarkStart w:id="102" w:name="sql-datendefinition-ddl"/>
    <w:p>
      <w:pPr>
        <w:pStyle w:val="Heading2"/>
      </w:pPr>
      <w:r>
        <w:t xml:space="preserve">5. SQL — Datendefinition (DDL)</w:t>
      </w:r>
    </w:p>
    <w:p>
      <w:pPr>
        <w:pStyle w:val="FirstParagraph"/>
      </w:pPr>
      <w:r>
        <w:rPr>
          <w:bCs/>
          <w:b/>
        </w:rPr>
        <w:t xml:space="preserve">CREATE TABLE: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bewertung (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PRIMARY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kunde_id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produkt_id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sterne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(sterne </w:t>
      </w:r>
      <w:r>
        <w:rPr>
          <w:rStyle w:val="KeywordTok"/>
        </w:rPr>
        <w:t xml:space="preserve">BETWEEN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kommentar   TEXT,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FOREIGN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 (kunde_id) </w:t>
      </w:r>
      <w:r>
        <w:rPr>
          <w:rStyle w:val="KeywordTok"/>
        </w:rPr>
        <w:t xml:space="preserve">REFERENCES</w:t>
      </w:r>
      <w:r>
        <w:rPr>
          <w:rStyle w:val="NormalTok"/>
        </w:rPr>
        <w:t xml:space="preserve"> kunde(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FOREIGN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 (produkt_id) </w:t>
      </w:r>
      <w:r>
        <w:rPr>
          <w:rStyle w:val="KeywordTok"/>
        </w:rPr>
        <w:t xml:space="preserve">REFERENCES</w:t>
      </w:r>
      <w:r>
        <w:rPr>
          <w:rStyle w:val="NormalTok"/>
        </w:rPr>
        <w:t xml:space="preserve"> produkt(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UNIQUE</w:t>
      </w:r>
      <w:r>
        <w:rPr>
          <w:rStyle w:val="NormalTok"/>
        </w:rPr>
        <w:t xml:space="preserve"> (kunde_id, produkt_id)</w:t>
      </w:r>
      <w:r>
        <w:br/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bCs/>
          <w:b/>
        </w:rPr>
        <w:t xml:space="preserve">Constraints: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Constraint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Bedeutung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PRIMARY KEY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Eindeutig + NOT NULL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FOREIGN KEY ... REFERENCES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Referenzielle Integrität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NOT NULL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Darf nicht leer sein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UNIQUE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Wert darf nur einmal vorkommen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CHECK (bedingung)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Wertebereich einschränken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DEFAULT wert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Standardwert wenn nichts angegeben</w:t>
            </w:r>
          </w:p>
        </w:tc>
      </w:tr>
    </w:tbl>
    <w:p>
      <w:pPr>
        <w:pStyle w:val="BodyText"/>
      </w:pPr>
      <w:r>
        <w:rPr>
          <w:bCs/>
          <w:b/>
        </w:rPr>
        <w:t xml:space="preserve">CREATE INDEX: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INDEX</w:t>
      </w:r>
      <w:r>
        <w:rPr>
          <w:rStyle w:val="NormalTok"/>
        </w:rPr>
        <w:t xml:space="preserve"> idx_kunde_ort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kunde(ort);</w:t>
      </w:r>
      <w:r>
        <w:br/>
      </w:r>
      <w:r>
        <w:rPr>
          <w:rStyle w:val="CommentTok"/>
        </w:rPr>
        <w:t xml:space="preserve">-- Beschleunigt Abfragen mit WHERE ort = '...'</w:t>
      </w:r>
    </w:p>
    <w:p>
      <w:r>
        <w:pict>
          <v:rect style="width:0;height:1.5pt" o:hralign="center" o:hrstd="t" o:hr="t"/>
        </w:pict>
      </w:r>
    </w:p>
    <w:bookmarkEnd w:id="102"/>
    <w:bookmarkStart w:id="103" w:name="relational-vs.-nosql-überblick"/>
    <w:p>
      <w:pPr>
        <w:pStyle w:val="Heading2"/>
      </w:pPr>
      <w:r>
        <w:t xml:space="preserve">6. Relational vs. NoSQL (Überblick)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777"/>
        <w:gridCol w:w="2747"/>
        <w:gridCol w:w="339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Kriterium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Relational (SQL)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NoSQL (z.B. MongoDB)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Schema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Fest definiert (Tabellen, Spalten)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Flexibel (Dokumente, Key-Value)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Beziehungen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JOINs, Fremdschlüssel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Eingebettete Dokumente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 (Transaktionssicherheit)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Teilweise (eventual consistency)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Skalierung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Vertikal (stärkerer Server)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Horizontal (mehr Server)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Geeignet für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Strukturierte Daten, komplexe Abfragen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Große Datenmengen, variable Strukturen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Stand: April 2026 — basierend auf dem IHK-Prüfungskatalog ab 2025</w:t>
      </w:r>
      <w:r>
        <w:t xml:space="preserve"> </w:t>
      </w:r>
      <w:r>
        <w:t xml:space="preserve">-e</w:t>
      </w:r>
    </w:p>
    <w:bookmarkEnd w:id="103"/>
    <w:bookmarkEnd w:id="104"/>
    <w:bookmarkStart w:id="135" w:name="ap2-lernzettel-it-sicherheit"/>
    <w:p>
      <w:pPr>
        <w:pStyle w:val="Heading1"/>
      </w:pPr>
      <w:r>
        <w:t xml:space="preserve">AP2-Lernzettel — IT-Sicherheit</w:t>
      </w:r>
    </w:p>
    <w:p>
      <w:pPr>
        <w:pStyle w:val="FirstParagraph"/>
      </w:pPr>
      <w:r>
        <w:rPr>
          <w:bCs/>
          <w:b/>
        </w:rPr>
        <w:t xml:space="preserve">Prüfungsrelevanz:</w:t>
      </w:r>
      <w:r>
        <w:t xml:space="preserve"> </w:t>
      </w:r>
      <w:r>
        <w:t xml:space="preserve">FIAE (Kern — beide Bereiche) + FISI (Kern — beide Bereiche)</w:t>
      </w:r>
      <w:r>
        <w:br/>
      </w:r>
      <w:r>
        <w:rPr>
          <w:bCs/>
          <w:b/>
        </w:rPr>
        <w:t xml:space="preserve">Neuer Katalog ab 2025:</w:t>
      </w:r>
      <w:r>
        <w:t xml:space="preserve"> </w:t>
      </w:r>
      <w:r>
        <w:t xml:space="preserve">Bedrohungsszenarien (MitM, SQL-Injection, DDoS), Kerberos explizit neu</w:t>
      </w:r>
      <w:r>
        <w:br/>
      </w:r>
      <w:r>
        <w:rPr>
          <w:bCs/>
          <w:b/>
        </w:rPr>
        <w:t xml:space="preserve">Empfehlung:</w:t>
      </w:r>
      <w:r>
        <w:t xml:space="preserve"> </w:t>
      </w:r>
      <w:r>
        <w:t xml:space="preserve">Komplett durcharbeiten, alle Abschnitte prüfungsrelevant</w:t>
      </w:r>
    </w:p>
    <w:p>
      <w:r>
        <w:pict>
          <v:rect style="width:0;height:1.5pt" o:hralign="center" o:hrstd="t" o:hr="t"/>
        </w:pict>
      </w:r>
    </w:p>
    <w:bookmarkStart w:id="105" w:name="X276ece51b6c1b699c8fe42cd79264cfe6d8ead1"/>
    <w:p>
      <w:pPr>
        <w:pStyle w:val="Heading2"/>
      </w:pPr>
      <w:r>
        <w:t xml:space="preserve">1. Schutzziele der Informationssicherheit (CIA-Triade)</w:t>
      </w:r>
    </w:p>
    <w:p>
      <w:pPr>
        <w:pStyle w:val="FirstParagraph"/>
      </w:pPr>
      <w:r>
        <w:t xml:space="preserve">Die drei Grundpfeiler der IT-Sicherheit: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708"/>
        <w:gridCol w:w="1552"/>
        <w:gridCol w:w="1708"/>
        <w:gridCol w:w="295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Schutzziel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Englisch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Bedeutung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Beispiel-Maßnahme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Vertraulichkeit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Confidentiality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Nur Berechtigte dürfen auf Daten zugreifen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Verschlüsselung, Zugriffsrechte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Integrität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Integrity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Daten dürfen nicht unbemerkt verändert werden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Hashwerte, digitale Signaturen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Verfügbarkeit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Availability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Systeme und Daten müssen erreichbar sein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Redundanz, Backup, USV</w:t>
            </w:r>
          </w:p>
        </w:tc>
      </w:tr>
    </w:tbl>
    <w:p>
      <w:pPr>
        <w:pStyle w:val="BodyText"/>
      </w:pPr>
      <w:r>
        <w:rPr>
          <w:bCs/>
          <w:b/>
        </w:rPr>
        <w:t xml:space="preserve">Erweiterungen (häufig in Prüfungen):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722"/>
        <w:gridCol w:w="2722"/>
        <w:gridCol w:w="2475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Schutzziel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Bedeutung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Maßnahme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Authentizität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Identität des Absenders ist nachweisbar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Digitale Zertifikate, 2FA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Nichtabstreitbarkeit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Handlungen können nicht geleugnet werden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Digitale Signaturen, Audit-Logs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Zurechenbarkeit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Aktionen lassen sich Personen zuordnen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Protokollierung, personalisierte Accounts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05"/>
    <w:bookmarkStart w:id="110" w:name="verschlüsselungsverfahren"/>
    <w:p>
      <w:pPr>
        <w:pStyle w:val="Heading2"/>
      </w:pPr>
      <w:r>
        <w:t xml:space="preserve">2. Verschlüsselungsverfahren</w:t>
      </w:r>
    </w:p>
    <w:bookmarkStart w:id="106" w:name="symmetrische-verschlüsselung"/>
    <w:p>
      <w:pPr>
        <w:pStyle w:val="Heading3"/>
      </w:pPr>
      <w:r>
        <w:t xml:space="preserve">2.1 Symmetrische Verschlüsselung</w:t>
      </w:r>
    </w:p>
    <w:p>
      <w:pPr>
        <w:pStyle w:val="FirstParagraph"/>
      </w:pPr>
      <w:r>
        <w:rPr>
          <w:bCs/>
          <w:b/>
        </w:rPr>
        <w:t xml:space="preserve">Prinzip:</w:t>
      </w:r>
      <w:r>
        <w:t xml:space="preserve"> </w:t>
      </w:r>
      <w:r>
        <w:t xml:space="preserve">Ein</w:t>
      </w:r>
      <w:r>
        <w:t xml:space="preserve"> </w:t>
      </w:r>
      <w:r>
        <w:rPr>
          <w:bCs/>
          <w:b/>
        </w:rPr>
        <w:t xml:space="preserve">einziger Schlüssel</w:t>
      </w:r>
      <w:r>
        <w:t xml:space="preserve"> </w:t>
      </w:r>
      <w:r>
        <w:t xml:space="preserve">für Ver- und Entschlüsselung.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4525"/>
        <w:gridCol w:w="339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Eigenschaft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Geschwindigkeit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Sehr schnell (geeignet für große Datenmengen)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Schlüsselproblem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Der Schlüssel muss sicher übertragen werden — kennt ein Dritter den Schlüssel, ist die Verschlüsselung gebrochen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Wichtigster Algorithmus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AES</w:t>
            </w:r>
            <w:r>
              <w:t xml:space="preserve"> </w:t>
            </w:r>
            <w:r>
              <w:t xml:space="preserve">(Advanced Encryption Standard) — Schlüssellängen: 128, 192 oder 256 Bit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Veraltete Algorithmen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 (56 Bit, unsicher), 3DES (Nachfolger, langsam)</w:t>
            </w:r>
          </w:p>
        </w:tc>
      </w:tr>
    </w:tbl>
    <w:bookmarkEnd w:id="106"/>
    <w:bookmarkStart w:id="107" w:name="asymmetrische-verschlüsselung"/>
    <w:p>
      <w:pPr>
        <w:pStyle w:val="Heading3"/>
      </w:pPr>
      <w:r>
        <w:t xml:space="preserve">2.2 Asymmetrische Verschlüsselung</w:t>
      </w:r>
    </w:p>
    <w:p>
      <w:pPr>
        <w:pStyle w:val="FirstParagraph"/>
      </w:pPr>
      <w:r>
        <w:rPr>
          <w:bCs/>
          <w:b/>
        </w:rPr>
        <w:t xml:space="preserve">Prinzip:</w:t>
      </w:r>
      <w:r>
        <w:t xml:space="preserve"> </w:t>
      </w:r>
      <w:r>
        <w:t xml:space="preserve">Ein</w:t>
      </w:r>
      <w:r>
        <w:t xml:space="preserve"> </w:t>
      </w:r>
      <w:r>
        <w:rPr>
          <w:bCs/>
          <w:b/>
        </w:rPr>
        <w:t xml:space="preserve">Schlüsselpaar</w:t>
      </w:r>
      <w:r>
        <w:t xml:space="preserve"> </w:t>
      </w:r>
      <w:r>
        <w:t xml:space="preserve">— öffentlicher Schlüssel (Public Key) + privater Schlüssel (Private Key).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11"/>
        <w:gridCol w:w="6008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Zweck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Verwendeter Schlüssel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Verschlüsseln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Public Key des Empfängers → nur der Empfänger kann mit seinem Private Key entschlüsseln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Signieren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Private Key des Absenders → jeder kann mit dem Public Key die Signatur prüfen</w:t>
            </w:r>
          </w:p>
        </w:tc>
      </w:tr>
    </w:tbl>
    <w:p/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4525"/>
        <w:gridCol w:w="339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Eigenschaft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Geschwindigkeit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Langsam (nicht geeignet für große Datenmengen)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Vorteil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Kein Schlüsselaustausch nötig — der Public Key darf öffentlich sein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Wichtigster Algorithmus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RSA</w:t>
            </w:r>
            <w:r>
              <w:t xml:space="preserve"> </w:t>
            </w:r>
            <w:r>
              <w:t xml:space="preserve">(Rivest–Shamir–Adleman) — Schlüssellängen: 2048 oder 4096 Bit</w:t>
            </w:r>
          </w:p>
        </w:tc>
      </w:tr>
    </w:tbl>
    <w:bookmarkEnd w:id="107"/>
    <w:bookmarkStart w:id="108" w:name="hybride-verschlüsselung"/>
    <w:p>
      <w:pPr>
        <w:pStyle w:val="Heading3"/>
      </w:pPr>
      <w:r>
        <w:t xml:space="preserve">2.3 Hybride Verschlüsselung</w:t>
      </w:r>
    </w:p>
    <w:p>
      <w:pPr>
        <w:pStyle w:val="FirstParagraph"/>
      </w:pPr>
      <w:r>
        <w:rPr>
          <w:bCs/>
          <w:b/>
        </w:rPr>
        <w:t xml:space="preserve">Kombination aus symmetrisch + asymmetrisch</w:t>
      </w:r>
      <w:r>
        <w:t xml:space="preserve"> </w:t>
      </w:r>
      <w:r>
        <w:t xml:space="preserve">— Standardverfahren in der Praxis (z.B. TLS/HTTPS).</w:t>
      </w:r>
    </w:p>
    <w:p>
      <w:pPr>
        <w:pStyle w:val="BodyText"/>
      </w:pPr>
      <w:r>
        <w:rPr>
          <w:bCs/>
          <w:b/>
        </w:rPr>
        <w:t xml:space="preserve">Ablauf:</w:t>
      </w:r>
      <w:r>
        <w:t xml:space="preserve"> </w:t>
      </w:r>
      <w:r>
        <w:t xml:space="preserve">1. Der Absender erzeugt einen</w:t>
      </w:r>
      <w:r>
        <w:t xml:space="preserve"> </w:t>
      </w:r>
      <w:r>
        <w:rPr>
          <w:bCs/>
          <w:b/>
        </w:rPr>
        <w:t xml:space="preserve">zufälligen symmetrischen Sitzungsschlüssel</w:t>
      </w:r>
      <w:r>
        <w:t xml:space="preserve"> </w:t>
      </w:r>
      <w:r>
        <w:t xml:space="preserve">(Session Key)</w:t>
      </w:r>
      <w:r>
        <w:t xml:space="preserve"> </w:t>
      </w:r>
      <w:r>
        <w:t xml:space="preserve">2. Die Nutzdaten werden mit dem</w:t>
      </w:r>
      <w:r>
        <w:t xml:space="preserve"> </w:t>
      </w:r>
      <w:r>
        <w:rPr>
          <w:bCs/>
          <w:b/>
        </w:rPr>
        <w:t xml:space="preserve">Session Key symmetrisch</w:t>
      </w:r>
      <w:r>
        <w:t xml:space="preserve"> </w:t>
      </w:r>
      <w:r>
        <w:t xml:space="preserve">verschlüsselt (schnell)</w:t>
      </w:r>
      <w:r>
        <w:t xml:space="preserve"> </w:t>
      </w:r>
      <w:r>
        <w:t xml:space="preserve">3. Der Session Key wird mit dem</w:t>
      </w:r>
      <w:r>
        <w:t xml:space="preserve"> </w:t>
      </w:r>
      <w:r>
        <w:rPr>
          <w:bCs/>
          <w:b/>
        </w:rPr>
        <w:t xml:space="preserve">Public Key des Empfängers asymmetrisch</w:t>
      </w:r>
      <w:r>
        <w:t xml:space="preserve"> </w:t>
      </w:r>
      <w:r>
        <w:t xml:space="preserve">verschlüsselt (sicher übertragen)</w:t>
      </w:r>
      <w:r>
        <w:t xml:space="preserve"> </w:t>
      </w:r>
      <w:r>
        <w:t xml:space="preserve">4. Beides wird übertragen</w:t>
      </w:r>
      <w:r>
        <w:t xml:space="preserve"> </w:t>
      </w:r>
      <w:r>
        <w:t xml:space="preserve">5. Der Empfänger entschlüsselt den Session Key mit seinem</w:t>
      </w:r>
      <w:r>
        <w:t xml:space="preserve"> </w:t>
      </w:r>
      <w:r>
        <w:rPr>
          <w:bCs/>
          <w:b/>
        </w:rPr>
        <w:t xml:space="preserve">Private Key</w:t>
      </w:r>
      <w:r>
        <w:t xml:space="preserve"> </w:t>
      </w:r>
      <w:r>
        <w:t xml:space="preserve">6. Mit dem Session Key entschlüsselt er die Nutzdaten</w:t>
      </w:r>
    </w:p>
    <w:p>
      <w:pPr>
        <w:pStyle w:val="BodyText"/>
      </w:pPr>
      <w:r>
        <w:rPr>
          <w:bCs/>
          <w:b/>
        </w:rPr>
        <w:t xml:space="preserve">Warum hybrid?</w:t>
      </w:r>
      <w:r>
        <w:t xml:space="preserve"> </w:t>
      </w:r>
      <w:r>
        <w:t xml:space="preserve">Vereint die Vorteile beider Verfahren: Geschwindigkeit der symmetrischen Verschlüsselung + sicherer Schlüsselaustausch der asymmetrischen.</w:t>
      </w:r>
    </w:p>
    <w:bookmarkEnd w:id="108"/>
    <w:bookmarkStart w:id="109" w:name="hashverfahren"/>
    <w:p>
      <w:pPr>
        <w:pStyle w:val="Heading3"/>
      </w:pPr>
      <w:r>
        <w:t xml:space="preserve">2.4 Hashverfahren</w:t>
      </w:r>
    </w:p>
    <w:p>
      <w:pPr>
        <w:pStyle w:val="FirstParagraph"/>
      </w:pPr>
      <w:r>
        <w:rPr>
          <w:bCs/>
          <w:b/>
        </w:rPr>
        <w:t xml:space="preserve">Prinzip:</w:t>
      </w:r>
      <w:r>
        <w:t xml:space="preserve"> </w:t>
      </w:r>
      <w:r>
        <w:t xml:space="preserve">Einweg-Funktion — aus beliebigen Daten wird ein</w:t>
      </w:r>
      <w:r>
        <w:t xml:space="preserve"> </w:t>
      </w:r>
      <w:r>
        <w:rPr>
          <w:bCs/>
          <w:b/>
        </w:rPr>
        <w:t xml:space="preserve">Hashwert fester Länge</w:t>
      </w:r>
      <w:r>
        <w:t xml:space="preserve"> </w:t>
      </w:r>
      <w:r>
        <w:t xml:space="preserve">berechnet. Rückberechnung ist nicht möglich.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4525"/>
        <w:gridCol w:w="339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Eigenschaft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Zweck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Integritätsprüfung (Wurde die Datei verändert?), Passwortspeicherung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Verfahren (sicher)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SHA-256</w:t>
            </w:r>
            <w:r>
              <w:t xml:space="preserve">, SHA-384, SHA-512 (SHA-2 Familie)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Verfahren (unsicher!)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MD5</w:t>
            </w:r>
            <w:r>
              <w:t xml:space="preserve"> </w:t>
            </w:r>
            <w:r>
              <w:t xml:space="preserve">(128 Bit, Kollisionen möglich),</w:t>
            </w:r>
            <w:r>
              <w:t xml:space="preserve"> </w:t>
            </w:r>
            <w:r>
              <w:rPr>
                <w:bCs/>
                <w:b/>
              </w:rPr>
              <w:t xml:space="preserve">SHA-1</w:t>
            </w:r>
            <w:r>
              <w:t xml:space="preserve"> </w:t>
            </w:r>
            <w:r>
              <w:t xml:space="preserve">(160 Bit, nicht mehr empfohlen)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Kollisionsresistenz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Zwei verschiedene Eingaben dürfen nicht denselben Hash erzeugen</w:t>
            </w:r>
          </w:p>
        </w:tc>
      </w:tr>
    </w:tbl>
    <w:p>
      <w:pPr>
        <w:pStyle w:val="BodyText"/>
      </w:pPr>
      <w:r>
        <w:rPr>
          <w:bCs/>
          <w:b/>
        </w:rPr>
        <w:t xml:space="preserve">Passwortspeicherung:</w:t>
      </w:r>
      <w:r>
        <w:br/>
      </w:r>
      <w:r>
        <w:t xml:space="preserve">Passwörter werden</w:t>
      </w:r>
      <w:r>
        <w:t xml:space="preserve"> </w:t>
      </w:r>
      <w:r>
        <w:rPr>
          <w:bCs/>
          <w:b/>
        </w:rPr>
        <w:t xml:space="preserve">nie</w:t>
      </w:r>
      <w:r>
        <w:t xml:space="preserve"> </w:t>
      </w:r>
      <w:r>
        <w:t xml:space="preserve">im Klartext gespeichert. Stattdessen: Passwort +</w:t>
      </w:r>
      <w:r>
        <w:t xml:space="preserve"> </w:t>
      </w:r>
      <w:r>
        <w:rPr>
          <w:bCs/>
          <w:b/>
        </w:rPr>
        <w:t xml:space="preserve">Salt</w:t>
      </w:r>
      <w:r>
        <w:t xml:space="preserve"> </w:t>
      </w:r>
      <w:r>
        <w:t xml:space="preserve">(zufällige Zeichenkette) → Hash. Das Salt verhindert, dass gleiche Passwörter denselben Hash ergeben (Schutz gegen Rainbow Tables).</w:t>
      </w:r>
    </w:p>
    <w:p>
      <w:r>
        <w:pict>
          <v:rect style="width:0;height:1.5pt" o:hralign="center" o:hrstd="t" o:hr="t"/>
        </w:pict>
      </w:r>
    </w:p>
    <w:bookmarkEnd w:id="109"/>
    <w:bookmarkEnd w:id="110"/>
    <w:bookmarkStart w:id="114" w:name="digitale-zertifikate-und-pki"/>
    <w:p>
      <w:pPr>
        <w:pStyle w:val="Heading2"/>
      </w:pPr>
      <w:r>
        <w:t xml:space="preserve">3. Digitale Zertifikate und PKI</w:t>
      </w:r>
    </w:p>
    <w:bookmarkStart w:id="111" w:name="x.509-zertifikat"/>
    <w:p>
      <w:pPr>
        <w:pStyle w:val="Heading3"/>
      </w:pPr>
      <w:r>
        <w:t xml:space="preserve">3.1 X.509-Zertifikat</w:t>
      </w:r>
    </w:p>
    <w:p>
      <w:pPr>
        <w:pStyle w:val="FirstParagraph"/>
      </w:pPr>
      <w:r>
        <w:t xml:space="preserve">Ein digitales Zertifikat bestätigt die</w:t>
      </w:r>
      <w:r>
        <w:t xml:space="preserve"> </w:t>
      </w:r>
      <w:r>
        <w:rPr>
          <w:bCs/>
          <w:b/>
        </w:rPr>
        <w:t xml:space="preserve">Zugehörigkeit eines Public Keys zu einer Identität</w:t>
      </w:r>
      <w:r>
        <w:t xml:space="preserve"> </w:t>
      </w:r>
      <w:r>
        <w:t xml:space="preserve">(Person, Server, Organisation).</w:t>
      </w:r>
    </w:p>
    <w:p>
      <w:pPr>
        <w:pStyle w:val="BodyText"/>
      </w:pPr>
      <w:r>
        <w:rPr>
          <w:bCs/>
          <w:b/>
        </w:rPr>
        <w:t xml:space="preserve">Inhalt eines X.509-Zertifikats: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Inhalt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Versionsnummer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z.B. v3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Seriennummer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Eindeutige ID des Zertifikats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Aussteller (Issuer)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Name der ausstellenden CA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Gültigkeitszeitraum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Beginn- und Ablaufdatum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Inhaber (Subject)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Name/Domain des Zertifikatsinhabers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Public Key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Öffentlicher Schlüssel des Inhabers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 der 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Bestätigung der Echtheit durch die CA</w:t>
            </w:r>
          </w:p>
        </w:tc>
      </w:tr>
    </w:tbl>
    <w:bookmarkEnd w:id="111"/>
    <w:bookmarkStart w:id="112" w:name="X92598b528a8f48e1736347f517831e98eeb2b30"/>
    <w:p>
      <w:pPr>
        <w:pStyle w:val="Heading3"/>
      </w:pPr>
      <w:r>
        <w:t xml:space="preserve">3.2 Zertifizierungsstelle (CA — Certificate Authority)</w:t>
      </w:r>
    </w:p>
    <w:p>
      <w:pPr>
        <w:pStyle w:val="FirstParagraph"/>
      </w:pPr>
      <w:r>
        <w:t xml:space="preserve">Eine CA ist eine vertrauenswürdige Instanz, die Zertifikate ausstellt und signiert.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828"/>
        <w:gridCol w:w="509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Typ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Einsatz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Öffentliche 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Für Webserver (HTTPS), z.B. Let’s Encrypt, DigiCert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Interne/Private 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Für Unternehmensnetzwerke (z.B. Active Directory Certificate Services)</w:t>
            </w:r>
          </w:p>
        </w:tc>
      </w:tr>
    </w:tbl>
    <w:p>
      <w:pPr>
        <w:pStyle w:val="BodyText"/>
      </w:pPr>
      <w:r>
        <w:rPr>
          <w:bCs/>
          <w:b/>
        </w:rPr>
        <w:t xml:space="preserve">Zertifikats-Kette (Chain of Trust):</w:t>
      </w:r>
      <w:r>
        <w:br/>
      </w:r>
      <w:r>
        <w:t xml:space="preserve">Root-CA → Zwischenzertifikat (Intermediate CA) → Server-Zertifikat</w:t>
      </w:r>
      <w:r>
        <w:br/>
      </w:r>
      <w:r>
        <w:t xml:space="preserve">Der Browser vertraut dem Server, weil er der Root-CA vertraut.</w:t>
      </w:r>
    </w:p>
    <w:bookmarkEnd w:id="112"/>
    <w:bookmarkStart w:id="113" w:name="tlsssl-transport-layer-security"/>
    <w:p>
      <w:pPr>
        <w:pStyle w:val="Heading3"/>
      </w:pPr>
      <w:r>
        <w:t xml:space="preserve">3.3 TLS/SSL (Transport Layer Security)</w:t>
      </w:r>
    </w:p>
    <w:p>
      <w:pPr>
        <w:pStyle w:val="FirstParagraph"/>
      </w:pPr>
      <w:r>
        <w:t xml:space="preserve">Verschlüsselt die Kommunikation zwischen Client und Server (HTTPS = HTTP + TLS).</w:t>
      </w:r>
    </w:p>
    <w:p>
      <w:pPr>
        <w:pStyle w:val="BodyText"/>
      </w:pPr>
      <w:r>
        <w:rPr>
          <w:bCs/>
          <w:b/>
        </w:rPr>
        <w:t xml:space="preserve">Vereinfachter TLS-Handshake:</w:t>
      </w:r>
      <w:r>
        <w:t xml:space="preserve"> </w:t>
      </w:r>
      <w:r>
        <w:t xml:space="preserve">1. Client sendet</w:t>
      </w:r>
      <w:r>
        <w:t xml:space="preserve"> </w:t>
      </w:r>
      <w:r>
        <w:t xml:space="preserve">“</w:t>
      </w:r>
      <w:r>
        <w:t xml:space="preserve">Client Hello</w:t>
      </w:r>
      <w:r>
        <w:t xml:space="preserve">”</w:t>
      </w:r>
      <w:r>
        <w:t xml:space="preserve"> </w:t>
      </w:r>
      <w:r>
        <w:t xml:space="preserve">(unterstützte Verschlüsselungsverfahren)</w:t>
      </w:r>
      <w:r>
        <w:t xml:space="preserve"> </w:t>
      </w:r>
      <w:r>
        <w:t xml:space="preserve">2. Server sendet</w:t>
      </w:r>
      <w:r>
        <w:t xml:space="preserve"> </w:t>
      </w:r>
      <w:r>
        <w:t xml:space="preserve">“</w:t>
      </w:r>
      <w:r>
        <w:t xml:space="preserve">Server Hello</w:t>
      </w:r>
      <w:r>
        <w:t xml:space="preserve">”</w:t>
      </w:r>
      <w:r>
        <w:t xml:space="preserve"> </w:t>
      </w:r>
      <w:r>
        <w:t xml:space="preserve">+ sein Zertifikat (mit Public Key)</w:t>
      </w:r>
      <w:r>
        <w:t xml:space="preserve"> </w:t>
      </w:r>
      <w:r>
        <w:t xml:space="preserve">3. Client prüft das Zertifikat (CA vertrauenswürdig? Gültig? Domain korrekt?)</w:t>
      </w:r>
      <w:r>
        <w:t xml:space="preserve"> </w:t>
      </w:r>
      <w:r>
        <w:t xml:space="preserve">4. Client erzeugt Session Key, verschlüsselt ihn mit Server’s Public Key → sendet ihn</w:t>
      </w:r>
      <w:r>
        <w:t xml:space="preserve"> </w:t>
      </w:r>
      <w:r>
        <w:t xml:space="preserve">5. Ab jetzt: symmetrische Verschlüsselung mit dem Session Key (hybrides Verfahren)</w:t>
      </w:r>
    </w:p>
    <w:p>
      <w:r>
        <w:pict>
          <v:rect style="width:0;height:1.5pt" o:hralign="center" o:hrstd="t" o:hr="t"/>
        </w:pict>
      </w:r>
    </w:p>
    <w:bookmarkEnd w:id="113"/>
    <w:bookmarkEnd w:id="114"/>
    <w:bookmarkStart w:id="117" w:name="authentifizierungsverfahren"/>
    <w:p>
      <w:pPr>
        <w:pStyle w:val="Heading2"/>
      </w:pPr>
      <w:r>
        <w:t xml:space="preserve">4. Authentifizierungsverfahren</w:t>
      </w:r>
    </w:p>
    <w:bookmarkStart w:id="115" w:name="authentifizierungsfaktoren"/>
    <w:p>
      <w:pPr>
        <w:pStyle w:val="Heading3"/>
      </w:pPr>
      <w:r>
        <w:t xml:space="preserve">4.1 Authentifizierungsfaktoren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346"/>
        <w:gridCol w:w="2933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Faktor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Kategorie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Beispiel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Wissen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Etwas, das man weiß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Passwort, PIN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Besitz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Etwas, das man hat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Smartphone (SMS-Code, Authenticator-App), Smartcard, Hardware-Token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Biometrie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Etwas, das man 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Fingerabdruck, Gesichtserkennung, Iris-Scan</w:t>
            </w:r>
          </w:p>
        </w:tc>
      </w:tr>
    </w:tbl>
    <w:p>
      <w:pPr>
        <w:pStyle w:val="BodyText"/>
      </w:pPr>
      <w:r>
        <w:rPr>
          <w:bCs/>
          <w:b/>
        </w:rPr>
        <w:t xml:space="preserve">Zwei-Faktor-Authentifizierung (2FA / MFA):</w:t>
      </w:r>
      <w:r>
        <w:br/>
      </w:r>
      <w:r>
        <w:t xml:space="preserve">Kombination von</w:t>
      </w:r>
      <w:r>
        <w:t xml:space="preserve"> </w:t>
      </w:r>
      <w:r>
        <w:rPr>
          <w:bCs/>
          <w:b/>
        </w:rPr>
        <w:t xml:space="preserve">mindestens zwei verschiedenen</w:t>
      </w:r>
      <w:r>
        <w:t xml:space="preserve"> </w:t>
      </w:r>
      <w:r>
        <w:t xml:space="preserve">Faktoren. Beispiel: Passwort (Wissen) + SMS-Code (Besitz). Zwei Passwörter sind</w:t>
      </w:r>
      <w:r>
        <w:t xml:space="preserve"> </w:t>
      </w:r>
      <w:r>
        <w:rPr>
          <w:bCs/>
          <w:b/>
        </w:rPr>
        <w:t xml:space="preserve">kein</w:t>
      </w:r>
      <w:r>
        <w:t xml:space="preserve"> </w:t>
      </w:r>
      <w:r>
        <w:t xml:space="preserve">2FA (beides ist Wissen).</w:t>
      </w:r>
    </w:p>
    <w:bookmarkEnd w:id="115"/>
    <w:bookmarkStart w:id="116" w:name="kerberos-neu-im-katalog-ab-2025"/>
    <w:p>
      <w:pPr>
        <w:pStyle w:val="Heading3"/>
      </w:pPr>
      <w:r>
        <w:t xml:space="preserve">4.2 Kerberos (NEU im Katalog ab 2025)</w:t>
      </w:r>
    </w:p>
    <w:p>
      <w:pPr>
        <w:pStyle w:val="FirstParagraph"/>
      </w:pPr>
      <w:r>
        <w:t xml:space="preserve">Kerberos ist ein</w:t>
      </w:r>
      <w:r>
        <w:t xml:space="preserve"> </w:t>
      </w:r>
      <w:r>
        <w:rPr>
          <w:bCs/>
          <w:b/>
        </w:rPr>
        <w:t xml:space="preserve">Netzwerk-Authentifizierungsprotokoll</w:t>
      </w:r>
      <w:r>
        <w:t xml:space="preserve">, das in Windows Active Directory eingesetzt wird.</w:t>
      </w:r>
    </w:p>
    <w:p>
      <w:pPr>
        <w:pStyle w:val="BodyText"/>
      </w:pPr>
      <w:r>
        <w:rPr>
          <w:bCs/>
          <w:b/>
        </w:rPr>
        <w:t xml:space="preserve">Beteiligte Komponenten: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4148"/>
        <w:gridCol w:w="377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Komponente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Funktion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Benutzer, der sich anmelden will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KDC</w:t>
            </w:r>
            <w:r>
              <w:t xml:space="preserve"> </w:t>
            </w:r>
            <w:r>
              <w:t xml:space="preserve">(Key Distribution Center)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Zentraler Authentifizierungsserver (auf dem Domain Controller)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TGS</w:t>
            </w:r>
            <w:r>
              <w:t xml:space="preserve"> </w:t>
            </w:r>
            <w:r>
              <w:t xml:space="preserve">(Ticket Granting Service)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Teil des KDC, stellt Service-Tickets aus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Service-Server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Zielserver, auf den der Client zugreifen will (z.B. Fileserver)</w:t>
            </w:r>
          </w:p>
        </w:tc>
      </w:tr>
    </w:tbl>
    <w:p>
      <w:pPr>
        <w:pStyle w:val="BodyText"/>
      </w:pPr>
      <w:r>
        <w:rPr>
          <w:bCs/>
          <w:b/>
        </w:rPr>
        <w:t xml:space="preserve">Vereinfachter Ablauf:</w:t>
      </w:r>
      <w:r>
        <w:t xml:space="preserve"> </w:t>
      </w:r>
      <w:r>
        <w:t xml:space="preserve">1. Client sendet Anmeldedaten an KDC</w:t>
      </w:r>
      <w:r>
        <w:t xml:space="preserve"> </w:t>
      </w:r>
      <w:r>
        <w:t xml:space="preserve">2. KDC prüft die Daten und stellt ein</w:t>
      </w:r>
      <w:r>
        <w:t xml:space="preserve"> </w:t>
      </w:r>
      <w:r>
        <w:rPr>
          <w:bCs/>
          <w:b/>
        </w:rPr>
        <w:t xml:space="preserve">TGT</w:t>
      </w:r>
      <w:r>
        <w:t xml:space="preserve"> </w:t>
      </w:r>
      <w:r>
        <w:t xml:space="preserve">(Ticket Granting Ticket) aus</w:t>
      </w:r>
      <w:r>
        <w:t xml:space="preserve"> </w:t>
      </w:r>
      <w:r>
        <w:t xml:space="preserve">3. Client nutzt das TGT, um beim TGS ein</w:t>
      </w:r>
      <w:r>
        <w:t xml:space="preserve"> </w:t>
      </w:r>
      <w:r>
        <w:rPr>
          <w:bCs/>
          <w:b/>
        </w:rPr>
        <w:t xml:space="preserve">Service-Ticket</w:t>
      </w:r>
      <w:r>
        <w:t xml:space="preserve"> </w:t>
      </w:r>
      <w:r>
        <w:t xml:space="preserve">für einen bestimmten Dienst anzufordern</w:t>
      </w:r>
      <w:r>
        <w:t xml:space="preserve"> </w:t>
      </w:r>
      <w:r>
        <w:t xml:space="preserve">4. Client legt das Service-Ticket beim Zielserver vor → Zugriff gewährt</w:t>
      </w:r>
    </w:p>
    <w:p>
      <w:pPr>
        <w:pStyle w:val="BodyText"/>
      </w:pPr>
      <w:r>
        <w:rPr>
          <w:bCs/>
          <w:b/>
        </w:rPr>
        <w:t xml:space="preserve">Vorteile:</w:t>
      </w:r>
      <w:r>
        <w:t xml:space="preserve"> </w:t>
      </w:r>
      <w:r>
        <w:t xml:space="preserve">Passwort wird nur einmal übertragen (bei der initialen Anmeldung). Danach arbeiten nur Tickets —</w:t>
      </w:r>
      <w:r>
        <w:t xml:space="preserve"> </w:t>
      </w:r>
      <w:r>
        <w:rPr>
          <w:bCs/>
          <w:b/>
        </w:rPr>
        <w:t xml:space="preserve">Single Sign-On (SSO)</w:t>
      </w:r>
      <w:r>
        <w:t xml:space="preserve"> </w:t>
      </w:r>
      <w:r>
        <w:t xml:space="preserve">ist damit möglich.</w:t>
      </w:r>
    </w:p>
    <w:p>
      <w:r>
        <w:pict>
          <v:rect style="width:0;height:1.5pt" o:hralign="center" o:hrstd="t" o:hr="t"/>
        </w:pict>
      </w:r>
    </w:p>
    <w:bookmarkEnd w:id="116"/>
    <w:bookmarkEnd w:id="117"/>
    <w:bookmarkStart w:id="122" w:name="Xd779a45234402c39b5d3d91989fef2b372d9df1"/>
    <w:p>
      <w:pPr>
        <w:pStyle w:val="Heading2"/>
      </w:pPr>
      <w:r>
        <w:t xml:space="preserve">5. Bedrohungen und Angriffe (NEU im Katalog ab 2025)</w:t>
      </w:r>
    </w:p>
    <w:bookmarkStart w:id="118" w:name="man-in-the-middle-mitm"/>
    <w:p>
      <w:pPr>
        <w:pStyle w:val="Heading3"/>
      </w:pPr>
      <w:r>
        <w:t xml:space="preserve">5.1 Man-in-the-Middle (MitM)</w:t>
      </w:r>
    </w:p>
    <w:p>
      <w:pPr>
        <w:pStyle w:val="FirstParagraph"/>
      </w:pPr>
      <w:r>
        <w:rPr>
          <w:bCs/>
          <w:b/>
        </w:rPr>
        <w:t xml:space="preserve">Prinzip:</w:t>
      </w:r>
      <w:r>
        <w:t xml:space="preserve"> </w:t>
      </w:r>
      <w:r>
        <w:t xml:space="preserve">Der Angreifer schaltet sich</w:t>
      </w:r>
      <w:r>
        <w:t xml:space="preserve"> </w:t>
      </w:r>
      <w:r>
        <w:rPr>
          <w:bCs/>
          <w:b/>
        </w:rPr>
        <w:t xml:space="preserve">unbemerkt zwischen</w:t>
      </w:r>
      <w:r>
        <w:t xml:space="preserve"> </w:t>
      </w:r>
      <w:r>
        <w:t xml:space="preserve">zwei Kommunikationspartner und kann den Datenverkehr mitlesen oder manipulieren.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727"/>
        <w:gridCol w:w="4192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Aspekt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Beispiel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Angreifer im öffentlichen WLAN fängt unverschlüsselten Datenverkehr ab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Gefahr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Passwörter, Session-Cookies, sensible Daten werden abgefangen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Schutzmaßnahmen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TLS/HTTPS</w:t>
            </w:r>
            <w:r>
              <w:t xml:space="preserve"> </w:t>
            </w:r>
            <w:r>
              <w:t xml:space="preserve">(Verschlüsselung + Zertifikatsprüfung),</w:t>
            </w:r>
            <w:r>
              <w:t xml:space="preserve"> </w:t>
            </w:r>
            <w:r>
              <w:rPr>
                <w:bCs/>
                <w:b/>
              </w:rPr>
              <w:t xml:space="preserve">VPN</w:t>
            </w:r>
            <w:r>
              <w:t xml:space="preserve">,</w:t>
            </w:r>
            <w:r>
              <w:t xml:space="preserve"> </w:t>
            </w:r>
            <w:r>
              <w:rPr>
                <w:bCs/>
                <w:b/>
              </w:rPr>
              <w:t xml:space="preserve">HSTS</w:t>
            </w:r>
            <w:r>
              <w:t xml:space="preserve"> </w:t>
            </w:r>
            <w:r>
              <w:t xml:space="preserve">(erzwingt HTTPS), Zertifikat-Pinning</w:t>
            </w:r>
          </w:p>
        </w:tc>
      </w:tr>
    </w:tbl>
    <w:bookmarkEnd w:id="118"/>
    <w:bookmarkStart w:id="119" w:name="sql-injection"/>
    <w:p>
      <w:pPr>
        <w:pStyle w:val="Heading3"/>
      </w:pPr>
      <w:r>
        <w:t xml:space="preserve">5.2 SQL-Injection</w:t>
      </w:r>
    </w:p>
    <w:p>
      <w:pPr>
        <w:pStyle w:val="FirstParagraph"/>
      </w:pPr>
      <w:r>
        <w:rPr>
          <w:bCs/>
          <w:b/>
        </w:rPr>
        <w:t xml:space="preserve">Prinzip:</w:t>
      </w:r>
      <w:r>
        <w:t xml:space="preserve"> </w:t>
      </w:r>
      <w:r>
        <w:t xml:space="preserve">Angreifer schleust</w:t>
      </w:r>
      <w:r>
        <w:t xml:space="preserve"> </w:t>
      </w:r>
      <w:r>
        <w:rPr>
          <w:bCs/>
          <w:b/>
        </w:rPr>
        <w:t xml:space="preserve">manipulierte SQL-Befehle</w:t>
      </w:r>
      <w:r>
        <w:t xml:space="preserve"> </w:t>
      </w:r>
      <w:r>
        <w:t xml:space="preserve">über Eingabefelder in die Datenbank ein.</w:t>
      </w:r>
    </w:p>
    <w:p>
      <w:pPr>
        <w:pStyle w:val="BodyText"/>
      </w:pPr>
      <w:r>
        <w:rPr>
          <w:bCs/>
          <w:b/>
        </w:rPr>
        <w:t xml:space="preserve">Beispiel:</w:t>
      </w:r>
    </w:p>
    <w:p>
      <w:pPr>
        <w:pStyle w:val="SourceCode"/>
      </w:pPr>
      <w:r>
        <w:rPr>
          <w:rStyle w:val="VerbatimChar"/>
        </w:rPr>
        <w:t xml:space="preserve">Eingabefeld "Benutzername": admin' OR '1'='1' --</w:t>
      </w:r>
    </w:p>
    <w:p>
      <w:pPr>
        <w:pStyle w:val="FirstParagraph"/>
      </w:pPr>
      <w:r>
        <w:t xml:space="preserve">Daraus wird im Backend: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benutzer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'admin'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'1'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'1'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--' AND passwort = '...'</w:t>
      </w:r>
    </w:p>
    <w:p>
      <w:pPr>
        <w:pStyle w:val="FirstParagraph"/>
      </w:pPr>
      <w:r>
        <w:t xml:space="preserve">Die Bedingung</w:t>
      </w:r>
      <w:r>
        <w:t xml:space="preserve"> </w:t>
      </w:r>
      <w:r>
        <w:rPr>
          <w:rStyle w:val="VerbatimChar"/>
        </w:rPr>
        <w:t xml:space="preserve">'1'='1'</w:t>
      </w:r>
      <w:r>
        <w:t xml:space="preserve"> </w:t>
      </w:r>
      <w:r>
        <w:t xml:space="preserve">ist immer wahr → alle Datensätze werden zurückgegeben, die Passwortprüfung wird durch</w:t>
      </w:r>
      <w:r>
        <w:t xml:space="preserve"> </w:t>
      </w:r>
      <w:r>
        <w:rPr>
          <w:rStyle w:val="VerbatimChar"/>
        </w:rPr>
        <w:t xml:space="preserve">--</w:t>
      </w:r>
      <w:r>
        <w:t xml:space="preserve"> </w:t>
      </w:r>
      <w:r>
        <w:t xml:space="preserve">(Kommentar) ausgeblendet.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4569"/>
        <w:gridCol w:w="335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Schutzmaßnahme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Erklärung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Prepared Statements / Parametrisierte Abfragen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Benutzereingaben werden als Daten, nicht als SQL-Code behandelt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Eingabevalidierung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Sonderzeichen (’, “, –, ;) filtern oder escapen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Least Privilege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Datenbank-Benutzer der Anwendung erhält nur die minimal nötigen Rechte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WAF (Web Application Firewall)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Erkennt und blockiert verdächtige Anfragen</w:t>
            </w:r>
          </w:p>
        </w:tc>
      </w:tr>
    </w:tbl>
    <w:bookmarkEnd w:id="119"/>
    <w:bookmarkStart w:id="120" w:name="X4afa3ba1319049c02e2b1e3ede79ba928d2ff4d"/>
    <w:p>
      <w:pPr>
        <w:pStyle w:val="Heading3"/>
      </w:pPr>
      <w:r>
        <w:t xml:space="preserve">5.3 DDoS-Attacke (Distributed Denial of Service)</w:t>
      </w:r>
    </w:p>
    <w:p>
      <w:pPr>
        <w:pStyle w:val="FirstParagraph"/>
      </w:pPr>
      <w:r>
        <w:rPr>
          <w:bCs/>
          <w:b/>
        </w:rPr>
        <w:t xml:space="preserve">Prinzip:</w:t>
      </w:r>
      <w:r>
        <w:t xml:space="preserve"> </w:t>
      </w:r>
      <w:r>
        <w:t xml:space="preserve">Viele kompromittierte Rechner (</w:t>
      </w:r>
      <w:r>
        <w:rPr>
          <w:bCs/>
          <w:b/>
        </w:rPr>
        <w:t xml:space="preserve">Botnet</w:t>
      </w:r>
      <w:r>
        <w:t xml:space="preserve">) senden gleichzeitig Anfragen an ein Ziel, bis es überlastet ist und nicht mehr antwortet.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727"/>
        <w:gridCol w:w="4192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Aspekt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Ziel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Verfügbarkeit</w:t>
            </w:r>
            <w:r>
              <w:t xml:space="preserve"> </w:t>
            </w:r>
            <w:r>
              <w:t xml:space="preserve">des Dienstes zerstören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Varianten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Volumetrisch (Bandbreite überfluten), Protokoll-basiert (SYN-Flood), Anwendungsschicht (HTTP-Flood)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Schutzmaßnahmen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CDN/DDoS-Schutzanbieter (z.B. Cloudflare), Rate Limiting, Traffic-Analyse, Redundante Infrastruktur, ISP-Filterung</w:t>
            </w:r>
          </w:p>
        </w:tc>
      </w:tr>
    </w:tbl>
    <w:bookmarkEnd w:id="120"/>
    <w:bookmarkStart w:id="121" w:name="weitere-bedrohungen-überblick"/>
    <w:p>
      <w:pPr>
        <w:pStyle w:val="Heading3"/>
      </w:pPr>
      <w:r>
        <w:t xml:space="preserve">5.4 Weitere Bedrohungen (Überblick)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722"/>
        <w:gridCol w:w="3217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Bedrohung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Beschreibung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Schutz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Phishing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Gefälschte E-Mails/Websites, die Zugangsdaten abgreifen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Awareness-Schulungen, SPF/DKIM/DMARC, Spam-Filter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Ransomware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Schadsoftware verschlüsselt Daten und erpresst Lösegeld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Backups (3-2-1-Regel), Endpoint Protection, Patch Management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Social Engineering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Manipulation von Personen, um an vertrauliche Infos zu gelangen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Schulungen, klare Prozesse, Rückruf-Prinzip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Brute Force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Systematisches Durchprobieren aller Passwortkombinationen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Kontosperrung nach X Fehlversuchen, lange/komplexe Passwörter, 2FA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Zero-Day-Exploit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Ausnutzung einer Schwachstelle, bevor ein Patch verfügbar 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IDS/IPS, Endpoint Detection, regelmäßige Updates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Cross-Site Scripting (XSS)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Schadcode wird in Webseiten eingeschleust und im Browser des Opfers ausgeführt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Eingabevalidierung, Output-Encoding, Content Security Policy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21"/>
    <w:bookmarkEnd w:id="122"/>
    <w:bookmarkStart w:id="125" w:name="X6a7c882566d10147062fb4822e3bce95be848fd"/>
    <w:p>
      <w:pPr>
        <w:pStyle w:val="Heading2"/>
      </w:pPr>
      <w:r>
        <w:t xml:space="preserve">6. Technisch-Organisatorische Maßnahmen (TOMs)</w:t>
      </w:r>
    </w:p>
    <w:p>
      <w:pPr>
        <w:pStyle w:val="FirstParagraph"/>
      </w:pPr>
      <w:r>
        <w:t xml:space="preserve">TOMs sind konkrete Maßnahmen zum Schutz personenbezogener Daten (gefordert durch DSGVO Art. 32).</w:t>
      </w:r>
    </w:p>
    <w:bookmarkStart w:id="123" w:name="kategorien-von-toms"/>
    <w:p>
      <w:pPr>
        <w:pStyle w:val="Heading3"/>
      </w:pPr>
      <w:r>
        <w:t xml:space="preserve">6.1 Kategorien von TOMs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Kategorie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Maßnahmen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Zutrittskontrolle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Schließanlagen, Chipkarten, Videoüberwachung, Besucherregelung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Zugangskontrolle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Passwortrichtlinien, 2FA, Bildschirmsperre, Verschlüsselung der Festplatten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Zugriffskontrolle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Berechtigungskonzept (RBAC), Least Privilege, Logging, Dateiberechtigungen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Weitergabekontrolle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Verschlüsselte Übertragung (TLS, VPN), Anonymisierung, sichere E-Mail (S/MIME)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Eingabekontrolle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Protokollierung, wer wann welche Daten eingegeben/geändert/gelöscht hat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Auftragskontrolle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Auftragsverarbeitung nur nach Weisung, Verträge mit Dienstleistern (AVV)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Verfügbarkeitskontrolle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Backup, USV, Brandschutz, Redundanz, Notfallkonzept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Trennungsgebot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Mandantentrennung, getrennte Datenbanken, VLAN-Segmentierung</w:t>
            </w:r>
          </w:p>
        </w:tc>
      </w:tr>
    </w:tbl>
    <w:bookmarkEnd w:id="123"/>
    <w:bookmarkStart w:id="124" w:name="Xb7dd7c865f00f409609458ca789e9c1e66a8483"/>
    <w:p>
      <w:pPr>
        <w:pStyle w:val="Heading3"/>
      </w:pPr>
      <w:r>
        <w:t xml:space="preserve">6.2 Zutrittskontrolle vs. Zugangskontrolle vs. Zugriffskontrolle</w:t>
      </w:r>
    </w:p>
    <w:p>
      <w:pPr>
        <w:pStyle w:val="FirstParagraph"/>
      </w:pPr>
      <w:r>
        <w:t xml:space="preserve">Diese drei Begriffe werden in Prüfungen gerne verwechselt: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875"/>
        <w:gridCol w:w="2709"/>
        <w:gridCol w:w="1458"/>
        <w:gridCol w:w="1875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Begriff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Schützt gegen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Ebene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Beispiel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Zutrittskontrolle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Unbefugtes Betreten von</w:t>
            </w:r>
            <w:r>
              <w:t xml:space="preserve"> </w:t>
            </w:r>
            <w:r>
              <w:rPr>
                <w:bCs/>
                <w:b/>
              </w:rPr>
              <w:t xml:space="preserve">Räumen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Physisch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Schlüsselkarte für den Serverraum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Zugangskontrolle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Unbefugte Nutzung von</w:t>
            </w:r>
            <w:r>
              <w:t xml:space="preserve"> </w:t>
            </w:r>
            <w:r>
              <w:rPr>
                <w:bCs/>
                <w:b/>
              </w:rPr>
              <w:t xml:space="preserve">Systemen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Logisch (System)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Login mit Passwort + 2FA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Zugriffskontrolle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Unbefugten Zugriff auf</w:t>
            </w:r>
            <w:r>
              <w:t xml:space="preserve"> </w:t>
            </w:r>
            <w:r>
              <w:rPr>
                <w:bCs/>
                <w:b/>
              </w:rPr>
              <w:t xml:space="preserve">Daten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Logisch (Daten)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Dateiberechtigungen, RBAC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24"/>
    <w:bookmarkEnd w:id="125"/>
    <w:bookmarkStart w:id="129" w:name="datenschutz-dsgvo-grundlagen"/>
    <w:p>
      <w:pPr>
        <w:pStyle w:val="Heading2"/>
      </w:pPr>
      <w:r>
        <w:t xml:space="preserve">7. Datenschutz (DSGVO-Grundlagen)</w:t>
      </w:r>
    </w:p>
    <w:bookmarkStart w:id="126" w:name="grundprinzipien-der-dsgvo-art.-5"/>
    <w:p>
      <w:pPr>
        <w:pStyle w:val="Heading3"/>
      </w:pPr>
      <w:r>
        <w:t xml:space="preserve">7.1 Grundprinzipien der DSGVO (Art. 5)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564"/>
        <w:gridCol w:w="4356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Prinzip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Bedeutung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Rechtmäßigkeit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Verarbeitung nur mit Rechtsgrundlage (Einwilligung, Vertrag, etc.)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Zweckbindung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Daten nur für den festgelegten Zweck verwenden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Datenminimierung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Nur so viele Daten erheben, wie für den Zweck nötig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Richtigkeit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Daten müssen korrekt und aktuell sein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Speicherbegrenzung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Daten löschen, wenn der Zweck erfüllt ist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Integrität &amp; Vertraulichkeit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Schutz durch angemessene technische und organisatorische Maßnahmen (TOMs)</w:t>
            </w:r>
          </w:p>
        </w:tc>
      </w:tr>
    </w:tbl>
    <w:bookmarkEnd w:id="126"/>
    <w:bookmarkStart w:id="127" w:name="rechte-der-betroffenen"/>
    <w:p>
      <w:pPr>
        <w:pStyle w:val="Heading3"/>
      </w:pPr>
      <w:r>
        <w:t xml:space="preserve">7.2 Rechte der Betroffenen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310"/>
        <w:gridCol w:w="297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Recht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Artikel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Inhalt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Auskunftsrecht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Welche Daten werden über mich gespeichert?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Recht auf Berichtigung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Falsche Daten korrigieren lassen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Recht auf Löschung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Daten löschen lassen (</w:t>
            </w:r>
            <w:r>
              <w:t xml:space="preserve">“</w:t>
            </w:r>
            <w:r>
              <w:t xml:space="preserve">Recht auf Vergessenwerden</w:t>
            </w:r>
            <w:r>
              <w:t xml:space="preserve">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Recht auf Einschränkung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Verarbeitung vorübergehend einschränken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Recht auf Datenübertragbarkeit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Daten in maschinenlesbarem Format erhalten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Widerspruchsrecht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Der Verarbeitung widersprechen</w:t>
            </w:r>
          </w:p>
        </w:tc>
      </w:tr>
    </w:tbl>
    <w:bookmarkEnd w:id="127"/>
    <w:bookmarkStart w:id="128" w:name="anonymisierung-vs.-pseudonymisierung"/>
    <w:p>
      <w:pPr>
        <w:pStyle w:val="Heading3"/>
      </w:pPr>
      <w:r>
        <w:t xml:space="preserve">7.3 Anonymisierung vs. Pseudonymisierung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233"/>
        <w:gridCol w:w="2640"/>
        <w:gridCol w:w="3046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Verfahren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Beschreibung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DSGVO-Relevanz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Anonymisierung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Personenbezug wird</w:t>
            </w:r>
            <w:r>
              <w:t xml:space="preserve"> </w:t>
            </w:r>
            <w:r>
              <w:rPr>
                <w:bCs/>
                <w:b/>
              </w:rPr>
              <w:t xml:space="preserve">unwiderruflich</w:t>
            </w:r>
            <w:r>
              <w:t xml:space="preserve"> </w:t>
            </w:r>
            <w:r>
              <w:t xml:space="preserve">entfernt — die Person ist nicht mehr identifizierbar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Anonymisierte Daten fallen</w:t>
            </w:r>
            <w:r>
              <w:t xml:space="preserve"> </w:t>
            </w:r>
            <w:r>
              <w:rPr>
                <w:bCs/>
                <w:b/>
              </w:rPr>
              <w:t xml:space="preserve">nicht</w:t>
            </w:r>
            <w:r>
              <w:t xml:space="preserve"> </w:t>
            </w:r>
            <w:r>
              <w:t xml:space="preserve">mehr unter die DSGVO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Pseudonymisierung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Personenbezug wird durch ein</w:t>
            </w:r>
            <w:r>
              <w:t xml:space="preserve"> </w:t>
            </w:r>
            <w:r>
              <w:rPr>
                <w:bCs/>
                <w:b/>
              </w:rPr>
              <w:t xml:space="preserve">Pseudonym</w:t>
            </w:r>
            <w:r>
              <w:t xml:space="preserve"> </w:t>
            </w:r>
            <w:r>
              <w:t xml:space="preserve">ersetzt (z.B. ID-Nummer) — Rückverfolgung ist mit Zusatzwissen möglich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Pseudonymisierte Daten fallen</w:t>
            </w:r>
            <w:r>
              <w:t xml:space="preserve"> </w:t>
            </w:r>
            <w:r>
              <w:rPr>
                <w:bCs/>
                <w:b/>
              </w:rPr>
              <w:t xml:space="preserve">weiterhin</w:t>
            </w:r>
            <w:r>
              <w:t xml:space="preserve"> </w:t>
            </w:r>
            <w:r>
              <w:t xml:space="preserve">unter die DSGVO, gelten aber als zusätzliche Schutzmaßnahme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28"/>
    <w:bookmarkEnd w:id="129"/>
    <w:bookmarkStart w:id="133" w:name="bsi-it-grundschutz-überblick"/>
    <w:p>
      <w:pPr>
        <w:pStyle w:val="Heading2"/>
      </w:pPr>
      <w:r>
        <w:t xml:space="preserve">8. BSI IT-Grundschutz (Überblick)</w:t>
      </w:r>
    </w:p>
    <w:p>
      <w:pPr>
        <w:pStyle w:val="FirstParagraph"/>
      </w:pPr>
      <w:r>
        <w:t xml:space="preserve">Das</w:t>
      </w:r>
      <w:r>
        <w:t xml:space="preserve"> </w:t>
      </w:r>
      <w:r>
        <w:rPr>
          <w:bCs/>
          <w:b/>
        </w:rPr>
        <w:t xml:space="preserve">Bundesamt für Sicherheit in der Informationstechnik (BSI)</w:t>
      </w:r>
      <w:r>
        <w:t xml:space="preserve"> </w:t>
      </w:r>
      <w:r>
        <w:t xml:space="preserve">stellt mit dem IT-Grundschutz ein Rahmenwerk für Informationssicherheit bereit.</w:t>
      </w:r>
    </w:p>
    <w:bookmarkStart w:id="130" w:name="schutzbedarfskategorien"/>
    <w:p>
      <w:pPr>
        <w:pStyle w:val="Heading3"/>
      </w:pPr>
      <w:r>
        <w:t xml:space="preserve">8.1 Schutzbedarfskategorien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3120"/>
        <w:gridCol w:w="21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Kategorie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Beschreibung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Beispiel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Normal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Begrenzte Auswirkungen bei Verletzung der Schutzziele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Allgemeine Bürodokumente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Erhebliche Auswirkungen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Personaldaten, Finanzdaten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Sehr hoch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Katastrophale Auswirkungen, Existenzbedrohung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Patientendaten, Geschäftsgeheimnisse, KRITIS</w:t>
            </w:r>
          </w:p>
        </w:tc>
      </w:tr>
    </w:tbl>
    <w:bookmarkEnd w:id="130"/>
    <w:bookmarkStart w:id="131" w:name="schutzbedarfsanalyse-vereinfacht"/>
    <w:p>
      <w:pPr>
        <w:pStyle w:val="Heading3"/>
      </w:pPr>
      <w:r>
        <w:t xml:space="preserve">8.2 Schutzbedarfsanalyse (vereinfacht)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Informationsverbund</w:t>
      </w:r>
      <w:r>
        <w:t xml:space="preserve"> </w:t>
      </w:r>
      <w:r>
        <w:t xml:space="preserve">definieren (welche Systeme, Anwendungen, Räume?)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Schutzbedarf</w:t>
      </w:r>
      <w:r>
        <w:t xml:space="preserve"> </w:t>
      </w:r>
      <w:r>
        <w:t xml:space="preserve">für jede Komponente festlegen (normal / hoch / sehr hoch) bezüglich Vertraulichkeit, Integrität und Verfügbarkeit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Maximumprinzip:</w:t>
      </w:r>
      <w:r>
        <w:t xml:space="preserve"> </w:t>
      </w:r>
      <w:r>
        <w:t xml:space="preserve">Der Schutzbedarf eines Systems richtet sich nach dem höchsten Schutzbedarf der darauf verarbeiteten Daten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Bausteine</w:t>
      </w:r>
      <w:r>
        <w:t xml:space="preserve"> </w:t>
      </w:r>
      <w:r>
        <w:t xml:space="preserve">aus dem IT-Grundschutz-Kompendium zuordnen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Maßnahmen</w:t>
      </w:r>
      <w:r>
        <w:t xml:space="preserve"> </w:t>
      </w:r>
      <w:r>
        <w:t xml:space="preserve">umsetzen und dokumentieren</w:t>
      </w:r>
    </w:p>
    <w:bookmarkEnd w:id="131"/>
    <w:bookmarkStart w:id="132" w:name="Xc5e4bb0b9abd33bffd3e3933d31779369ae3a58"/>
    <w:p>
      <w:pPr>
        <w:pStyle w:val="Heading3"/>
      </w:pPr>
      <w:r>
        <w:t xml:space="preserve">8.3 ISMS (Information Security Management System)</w:t>
      </w:r>
    </w:p>
    <w:p>
      <w:pPr>
        <w:pStyle w:val="FirstParagraph"/>
      </w:pPr>
      <w:r>
        <w:t xml:space="preserve">Ein ISMS ist ein</w:t>
      </w:r>
      <w:r>
        <w:t xml:space="preserve"> </w:t>
      </w:r>
      <w:r>
        <w:rPr>
          <w:bCs/>
          <w:b/>
        </w:rPr>
        <w:t xml:space="preserve">systematischer Ansatz</w:t>
      </w:r>
      <w:r>
        <w:t xml:space="preserve"> </w:t>
      </w:r>
      <w:r>
        <w:t xml:space="preserve">zur Verwaltung der Informationssicherheit in einer Organisation. Es umfasst Richtlinien, Prozesse, Verantwortlichkeiten und Maßnahmen.</w:t>
      </w:r>
    </w:p>
    <w:p>
      <w:pPr>
        <w:pStyle w:val="BodyText"/>
      </w:pPr>
      <w:r>
        <w:t xml:space="preserve">Relevante Standards: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BSI IT-Grundschutz</w:t>
      </w:r>
      <w:r>
        <w:t xml:space="preserve"> </w:t>
      </w:r>
      <w:r>
        <w:t xml:space="preserve">(deutsch, öffentliche Verwaltung und Unternehmen)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ISO/IEC 27001</w:t>
      </w:r>
      <w:r>
        <w:t xml:space="preserve"> </w:t>
      </w:r>
      <w:r>
        <w:t xml:space="preserve">(international, zertifizierbar)</w:t>
      </w:r>
    </w:p>
    <w:p>
      <w:r>
        <w:pict>
          <v:rect style="width:0;height:1.5pt" o:hralign="center" o:hrstd="t" o:hr="t"/>
        </w:pict>
      </w:r>
    </w:p>
    <w:bookmarkEnd w:id="132"/>
    <w:bookmarkEnd w:id="133"/>
    <w:bookmarkStart w:id="134" w:name="Xfef11408239b146958b24ce1515d6739e8ea173"/>
    <w:p>
      <w:pPr>
        <w:pStyle w:val="Heading2"/>
      </w:pPr>
      <w:r>
        <w:t xml:space="preserve">9. Zusammenfassung: Prüfungsrelevante Verknüpfungen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11"/>
        <w:gridCol w:w="6008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Thema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Typische Prüfungsfrage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Schutzziele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Welches Schutzziel wird durch Maßnahme X geschützt?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Verschlüsselung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Erklären Sie den Unterschied symmetrisch/asymmetrisch/hybrid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Hashverfahren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Warum ist MD5 nicht mehr sicher? Was ist ein Salt?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TLS-Handshake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Beschreiben Sie den Ablauf einer HTTPS-Verbindung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Zertifikate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Welche Informationen enthält ein X.509-Zertifikat?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Kerberos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Erklären Sie den Authentifizierungsablauf mit Kerberos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SQL-Injection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Erklären Sie die Schwachstelle und nennen Sie Gegenmaßnahmen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MitM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Warum schützt TLS vor Man-in-the-Middle-Angriffen?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DDoS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Beschreiben Sie den Ablauf einer DDoS-Attacke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Ordnen Sie folgende Maßnahmen den TOM-Kategorien zu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DSGVO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Welche Grundsätze gelten bei der Verarbeitung personenbezogener Daten?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Anonymisierung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Erklären Sie den Unterschied Anonymisierung vs. Pseudonymisierung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Schutzbedarfsanalyse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Führen Sie eine Schutzbedarfsanalyse für das beschriebene System durch</w:t>
            </w:r>
            <w:r>
              <w:t xml:space="preserve">”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Stand: April 2026 — basierend auf dem IHK-Prüfungskatalog ab 2025</w:t>
      </w:r>
    </w:p>
    <w:bookmarkEnd w:id="134"/>
    <w:bookmarkEnd w:id="1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2026-04-14T05:59:12Z</dcterms:created>
  <dcterms:modified xsi:type="dcterms:W3CDTF">2026-04-14T05:59:12Z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