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rFonts w:ascii="Calibri" w:cs="Calibri" w:eastAsia="Calibri" w:hAnsi="Calibri"/>
          <w:i/>
          <w:iCs/>
          <w:color w:val="0066AA"/>
          <w:sz w:val="20"/>
          <w:szCs w:val="20"/>
        </w:rPr>
        <w:t xml:space="preserve">IT-Sicherheit 2025/2026</w:t>
      </w:r>
    </w:p>
    <w:p>
      <w:pPr>
        <w:pBdr>
          <w:bottom w:val="single" w:color="F0A500" w:sz="24" w:space="8"/>
        </w:pBdr>
        <w:spacing w:after="240"/>
        <w:jc w:val="left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Aktuelle Themen in Bezug auf Datenschutz und IT-Sicherheit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66666"/>
          <w:sz w:val="22"/>
          <w:szCs w:val="22"/>
        </w:rPr>
        <w:t xml:space="preserve">Handout zur Prüfungsvorbereitung AP2 (FIAE / FISI) – Stand 2025/2026</w:t>
      </w:r>
    </w:p>
    <w:p>
      <w:r>
        <w:t xml:space="preserve"/>
      </w:r>
    </w:p>
    <w:p>
      <w:pPr>
        <w:pStyle w:val="Heading1"/>
        <w:pBdr>
          <w:bottom w:val="single" w:color="F0A500" w:sz="12" w:space="2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Abkürzungsverzeichnis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AI Act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Artificial Intelligence Act (EU-Verordnung zur Regulierung Künstlicher Intelligenz)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BFSG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Barrierefreiheitsstärkungsgesetz (seit 28.06.2025 in Kraft)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BSI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Bundesamt für Sicherheit in der Informationstechnik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CRA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Cyber Resilience Act (EU-Verordnung über Cyberresilienzanforderungen)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DMA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Digital Markets Act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DSA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Digital Services Act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DSGVO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Datenschutz-Grundverordnung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EnEfG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Energieeffizienzgesetz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IAM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Identity &amp; Access Management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IKT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Informations- und Kommunikationstechnologie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IT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Informationstechnologie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KMU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Kleine und mittlere Unternehmen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KRITIS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Kritische Infrastrukturen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MFA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Multi-Faktor-Authentifizierung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NIS2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Network and Information Security Directive 2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PQC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Post-Quantum Cryptography (quantensichere Kryptographie)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PUE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Power Usage Effectiveness (Kennzahl für Rechenzentrums-Effizienz)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SBOM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Software Bill of Materials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SIEM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Security Information and Event Management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SOAR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Security Orchestration, Automation and Response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TOM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Technische und organisatorische Maßnahmen (DSGVO Art. 32)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WCAG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Web Content Accessibility Guidelines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ZTA</w:t>
            </w:r>
          </w:p>
        </w:tc>
        <w:tc>
          <w:tcPr>
            <w:tcW w:type="dxa" w:w="75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Zero-Trust-Architektur</w:t>
            </w:r>
          </w:p>
        </w:tc>
      </w:tr>
    </w:tbl>
    <w:p>
      <w:pPr>
        <w:pStyle w:val="Heading1"/>
        <w:pBdr>
          <w:bottom w:val="single" w:color="F0A500" w:sz="12" w:space="2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Teil 1: Überblick über zentrale Entwicklungen</w:t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1.1 IT-Sicherheit – Aktuelle Trends</w:t>
      </w:r>
    </w:p>
    <w:p>
      <w:pPr>
        <w:pStyle w:val="Heading3"/>
        <w:spacing w:after="100" w:before="2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Zero-Trust-Architektur (ZTA)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Grundsatz: „Never trust, always verify" – Zugriffskontrolle unabhängig von Standort oder Netzwerk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Standardlösung für hybride Arbeit und IoT-Umgebungen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Umsetzungsmittel: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Mikrosegmentierung des Netzwerks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Identitätsbasierte Zugriffskontrollen (MFA, Identity &amp; Access Management)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Echtzeitüberwachung und kontinuierliche Verifikation von Geräten und Nutzern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Einsatz von SIEM und SOAR zur automatisierten Erkennung und Reaktion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Least-Privilege-Prinzip: jede Identität nur mit minimal notwendigen Rechten</w:t>
      </w:r>
    </w:p>
    <w:p>
      <w:pPr>
        <w:pStyle w:val="Heading3"/>
        <w:spacing w:after="100" w:before="2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Künstliche Intelligenz (KI) in der IT-Sicherheit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Einsatz zur Anomalie- und Angriffserkennung (z. B. UEBA – User and Entity Behavior Analytics)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Automatisierung komplexer Angriffsmuster auf Angreifer-Seite (KI-generierte Phishing-Mails, Deepfakes)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Herausforderung: KI kann sowohl schützen als auch angreifen</w:t>
      </w:r>
    </w:p>
    <w:p>
      <w:pPr>
        <w:pStyle w:val="Heading3"/>
        <w:spacing w:after="100" w:before="2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Cloud-Sicherheit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Schutzmaßnahmen für Cloud-Dienste rücken stärker in den Fokus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Robuste Sicherheitsstrategien in Multi-Cloud- und Hybrid-Cloud-Umgebungen erforderlich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Shared-Responsibility-Modell beachten: Anbieter sichert Infrastruktur, Kunde sichert Daten und Zugriff</w:t>
      </w:r>
    </w:p>
    <w:p>
      <w:pPr>
        <w:pStyle w:val="Heading3"/>
        <w:spacing w:after="100" w:before="2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Absicherung der Software-Lieferkette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Nach Vorfällen wie SolarWinds und Log4Shell hohe Aufmerksamkeit für Drittanbieter-Sicherheit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SBOM (Software Bill of Materials): Inventar aller Komponenten und Abhängigkeiten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Signaturen, Integritätsprüfung, Transparenz über Herkunft von Code</w:t>
      </w:r>
    </w:p>
    <w:p>
      <w:pPr>
        <w:pStyle w:val="Heading3"/>
        <w:spacing w:after="100" w:before="2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Biometrische Authentifizierung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Zunehmender Ersatz klassischer Passwörter (FIDO2 / Passkeys)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Fingerabdruck, Gesichtserkennung, Iris-Scan – Speicherung möglichst lokal auf dem Gerät</w:t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1.2 Datenschutz – Rechtliche Entwicklungen</w:t>
      </w:r>
    </w:p>
    <w:p>
      <w:pPr>
        <w:pStyle w:val="Heading3"/>
        <w:spacing w:after="100" w:before="2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DSGVO und NIS-2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Weiterentwicklung bestehender Regelungen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Neue Anforderungen an KRITIS-Unternehmen und deutlich erweiterter Anwendungsbereich</w:t>
      </w:r>
    </w:p>
    <w:p>
      <w:pPr>
        <w:pStyle w:val="Heading3"/>
        <w:spacing w:after="100" w:before="2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Koalitionsvertrag 2025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Einheitliche Datenschutzaufsicht angestrebt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Reform der DSGVO und klarere Anforderungen für KMU und Ehrenamt</w:t>
      </w:r>
    </w:p>
    <w:p>
      <w:pPr>
        <w:pStyle w:val="Heading3"/>
        <w:spacing w:after="100" w:before="2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Internationale Datenübertragungen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EU-US Data Privacy Framework als derzeitige Rechtsgrundlage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Rechtssicherheit bei Datenflüssen über Landesgrenzen hinweg (vgl. „Schrems II")</w:t>
      </w:r>
    </w:p>
    <w:p>
      <w:pPr>
        <w:pStyle w:val="Heading3"/>
        <w:spacing w:after="100" w:before="2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KI und Datenschutz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KI in Geschäftsprozessen birgt neue Risiken – Herausforderung: datenschutzkonformer KI-Einsatz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Kernthemen: Rechtmäßigkeit der Trainingsdaten, Transparenz, algorithmische Fairness, Löschkonzepte</w:t>
      </w:r>
    </w:p>
    <w:p>
      <w:pPr>
        <w:pStyle w:val="Heading3"/>
        <w:spacing w:after="100" w:before="2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Sektor-spezifische Entwicklungen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Gesundheitsdaten besonders sensibel (Art. 9 DSGVO)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Elektronische Patientenakte (ePA) und KI-gestützte Diagnostik verlangen strikte Schutzmaßnahmen</w:t>
      </w:r>
    </w:p>
    <w:p>
      <w:pPr>
        <w:pStyle w:val="Heading1"/>
        <w:pBdr>
          <w:bottom w:val="single" w:color="F0A500" w:sz="12" w:space="2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Teil 2: Vertiefung – Aktuelle EU-Regulierungen</w:t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2.1 AI Act – EU-Verordnung über Künstliche Intelligenz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Die Verordnung (EU) 2024/1689 trat am 01.08.2024 in Kraft. Die Verbote für Systeme mit unannehmbarem Risiko gelten seit 02.02.2025, die Pflichten für Hochrisiko-Systeme werden bis 2026/2027 gestaffelt wirksam. Die Einstufung erfolgt risikobasiert:</w:t>
      </w:r>
    </w:p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200"/>
        <w:gridCol w:w="4360"/>
      </w:tblGrid>
      <w:tr>
        <w:trPr>
          <w:tblHeader/>
        </w:trP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00336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Risikoklasse</w:t>
            </w:r>
          </w:p>
        </w:tc>
        <w:tc>
          <w:tcPr>
            <w:tcW w:type="dxa" w:w="3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00336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Beispiele</w:t>
            </w:r>
          </w:p>
        </w:tc>
        <w:tc>
          <w:tcPr>
            <w:tcW w:type="dxa" w:w="43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00336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Rechtsfolge / Pflichten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FFD6D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Unannehmbares Risiko</w:t>
            </w:r>
          </w:p>
        </w:tc>
        <w:tc>
          <w:tcPr>
            <w:tcW w:type="dxa" w:w="3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FFD6D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• Social Scoring durch Staaten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• Manipulative Systeme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• Biometrische Echtzeit-Fernidentifizierung im öffentlichen Raum (mit Ausnahmen)</w:t>
            </w:r>
          </w:p>
        </w:tc>
        <w:tc>
          <w:tcPr>
            <w:tcW w:type="dxa" w:w="43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FFD6D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B00020"/>
                <w:sz w:val="22"/>
                <w:szCs w:val="22"/>
              </w:rPr>
              <w:t xml:space="preserve">Verboten (seit 02.02.2025)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FFE8C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Hohes Risiko</w:t>
            </w:r>
          </w:p>
        </w:tc>
        <w:tc>
          <w:tcPr>
            <w:tcW w:type="dxa" w:w="3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FFE8C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• KI in kritischer Infrastruktur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• Bildung / Prüfungsbewertung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• Personalauswahl / HR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• Kreditwürdigkeitsprüfung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• Strafverfolgung, Justiz</w:t>
            </w:r>
          </w:p>
        </w:tc>
        <w:tc>
          <w:tcPr>
            <w:tcW w:type="dxa" w:w="43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FFE8C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• Risikomanagementsystem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• Daten-Governance, Dokumentation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• Logging / Protokollierung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• Transparenz für Nutzer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• Menschliche Aufsicht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• CE-Kennzeichnung, Konformitätsbewertung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FFF4C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Begrenztes Risiko</w:t>
            </w:r>
          </w:p>
        </w:tc>
        <w:tc>
          <w:tcPr>
            <w:tcW w:type="dxa" w:w="3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FFF4C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• Chatbots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• Deepfakes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• Emotionserkennung</w:t>
            </w:r>
          </w:p>
        </w:tc>
        <w:tc>
          <w:tcPr>
            <w:tcW w:type="dxa" w:w="43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FFF4C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Transparenzpflicht: Nutzer muss erkennen, dass er mit KI / KI-Inhalt interagiert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D6F0D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Minimales Risiko</w:t>
            </w:r>
          </w:p>
        </w:tc>
        <w:tc>
          <w:tcPr>
            <w:tcW w:type="dxa" w:w="32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D6F0D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• Spamfilter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• KI in Videospielen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• Einfache Empfehlungssysteme</w:t>
            </w:r>
          </w:p>
        </w:tc>
        <w:tc>
          <w:tcPr>
            <w:tcW w:type="dxa" w:w="43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D6F0D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Keine besonderen Pflichten; freiwillige Verhaltenskodizes empfohlen</w:t>
            </w:r>
          </w:p>
        </w:tc>
      </w:tr>
    </w:tbl>
    <w:p>
      <w:r>
        <w:t xml:space="preserve"/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Pflichten für Hochrisiko-KI (Art. 9–15 AI Act):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Risikomanagementsystem über den gesamten Lebenszyklus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Daten-Governance: repräsentative, fehlerfreie Trainings-, Validierungs- und Testdaten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Technische Dokumentation und automatische Protokollierung (Logging)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Transparenz- und Informationspflichten gegenüber Nutzern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Menschliche Aufsicht („Human Oversight")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Genauigkeit, Robustheit und Cybersicherheit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Konformitätsbewertung und CE-Kennzeichnung vor Inverkehrbringen</w:t>
      </w:r>
    </w:p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0A500" w:sz="6"/>
              <w:left w:val="single" w:color="F0A500" w:sz="24"/>
              <w:bottom w:val="single" w:color="F0A500" w:sz="6"/>
              <w:right w:val="single" w:color="F0A500" w:sz="6"/>
            </w:tcBorders>
            <w:shd w:fill="EEF5FB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⚠ Besonderheit: General Purpose AI (GPAI)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Für allgemeine KI-Modelle (z. B. große Sprachmodelle) gelten seit 02.08.2025 zusätzliche Pflichten: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Transparenz über Trainingsdaten, Einhaltung des Urheberrechts, Modellkarten.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GPAI-Modelle mit systemischem Risiko: zusätzliche Sicherheits- und Meldepflichten.</w:t>
            </w:r>
          </w:p>
        </w:tc>
      </w:tr>
    </w:tbl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2.2 NIS-2-Richtlinie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Die NIS-2-Richtlinie (EU 2022/2555) löst die NIS-1 ab und erweitert den Anwendungsbereich erheblich. Die deutsche Umsetzung erfolgt durch das NIS2UmsuCG. Betroffene Unternehmen werden in zwei Kategorien eingeteilt:</w:t>
      </w:r>
    </w:p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480"/>
        <w:gridCol w:w="3480"/>
      </w:tblGrid>
      <w:tr>
        <w:trPr>
          <w:tblHeader/>
        </w:trPr>
        <w:tc>
          <w:tcPr>
            <w:tcW w:type="dxa" w:w="24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00336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Merkmal</w:t>
            </w:r>
          </w:p>
        </w:tc>
        <w:tc>
          <w:tcPr>
            <w:tcW w:type="dxa" w:w="348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00336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Wesentliche Einrichtung</w:t>
            </w:r>
          </w:p>
        </w:tc>
        <w:tc>
          <w:tcPr>
            <w:tcW w:type="dxa" w:w="348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00336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Wichtige Einrichtung</w:t>
            </w:r>
          </w:p>
        </w:tc>
      </w:tr>
      <w:tr>
        <w:tc>
          <w:tcPr>
            <w:tcW w:type="dxa" w:w="24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Sektoren</w:t>
            </w:r>
          </w:p>
        </w:tc>
        <w:tc>
          <w:tcPr>
            <w:tcW w:type="dxa" w:w="348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Energie, Verkehr, Banken, Finanzmarkt, Gesundheit, Trinkwasser, Abwasser, digitale Infrastruktur, öffentliche Verwaltung, Weltraum</w:t>
            </w:r>
          </w:p>
        </w:tc>
        <w:tc>
          <w:tcPr>
            <w:tcW w:type="dxa" w:w="348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Post, Abfall, Chemie, Lebensmittel, Maschinenbau, Kfz-Hersteller, digitale Dienste, Forschung</w:t>
            </w:r>
          </w:p>
        </w:tc>
      </w:tr>
      <w:tr>
        <w:tc>
          <w:tcPr>
            <w:tcW w:type="dxa" w:w="24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Größenschwelle</w:t>
            </w:r>
          </w:p>
        </w:tc>
        <w:tc>
          <w:tcPr>
            <w:tcW w:type="dxa" w:w="348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≥ 250 Beschäftigte ODER Umsatz &gt; 50 Mio. € UND Bilanz &gt; 43 Mio. €</w:t>
            </w:r>
          </w:p>
        </w:tc>
        <w:tc>
          <w:tcPr>
            <w:tcW w:type="dxa" w:w="348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≥ 50 Beschäftigte ODER Umsatz &gt; 10 Mio. € UND Bilanz &gt; 10 Mio. €</w:t>
            </w:r>
          </w:p>
        </w:tc>
      </w:tr>
      <w:tr>
        <w:tc>
          <w:tcPr>
            <w:tcW w:type="dxa" w:w="24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Aufsicht</w:t>
            </w:r>
          </w:p>
        </w:tc>
        <w:tc>
          <w:tcPr>
            <w:tcW w:type="dxa" w:w="348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Proaktiv (Inspektionen, Sicherheits-Audits auch ohne Anlass)</w:t>
            </w:r>
          </w:p>
        </w:tc>
        <w:tc>
          <w:tcPr>
            <w:tcW w:type="dxa" w:w="348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Reaktiv (Prüfung nur bei Anlass / Hinweisen)</w:t>
            </w:r>
          </w:p>
        </w:tc>
      </w:tr>
      <w:tr>
        <w:tc>
          <w:tcPr>
            <w:tcW w:type="dxa" w:w="24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Bußgeld (max.)</w:t>
            </w:r>
          </w:p>
        </w:tc>
        <w:tc>
          <w:tcPr>
            <w:tcW w:type="dxa" w:w="348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B00020"/>
                <w:sz w:val="22"/>
                <w:szCs w:val="22"/>
              </w:rPr>
              <w:t xml:space="preserve">Bis 10 Mio. € oder 2 % weltweiter Jahresumsatz</w:t>
            </w:r>
          </w:p>
        </w:tc>
        <w:tc>
          <w:tcPr>
            <w:tcW w:type="dxa" w:w="348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B00020"/>
                <w:sz w:val="22"/>
                <w:szCs w:val="22"/>
              </w:rPr>
              <w:t xml:space="preserve">Bis 7 Mio. € oder 1,4 % weltweiter Jahresumsatz</w:t>
            </w:r>
          </w:p>
        </w:tc>
      </w:tr>
    </w:tbl>
    <w:p>
      <w:r>
        <w:t xml:space="preserve"/>
      </w:r>
    </w:p>
    <w:p>
      <w:pPr>
        <w:pStyle w:val="Heading3"/>
        <w:spacing w:after="100" w:before="2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Meldepflichten bei Sicherheitsvorfällen – drei Stufen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600"/>
        <w:gridCol w:w="4960"/>
      </w:tblGrid>
      <w:tr>
        <w:trPr>
          <w:tblHeader/>
        </w:trP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00336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Frist</w:t>
            </w:r>
          </w:p>
        </w:tc>
        <w:tc>
          <w:tcPr>
            <w:tcW w:type="dxa" w:w="2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00336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Phase</w:t>
            </w:r>
          </w:p>
        </w:tc>
        <w:tc>
          <w:tcPr>
            <w:tcW w:type="dxa" w:w="49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003366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Inhalt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24 Stunden</w:t>
            </w:r>
          </w:p>
        </w:tc>
        <w:tc>
          <w:tcPr>
            <w:tcW w:type="dxa" w:w="2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Frühwarnung</w:t>
            </w:r>
          </w:p>
        </w:tc>
        <w:tc>
          <w:tcPr>
            <w:tcW w:type="dxa" w:w="49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Erste Meldung an das BSI: Hinweis auf rechtswidrige / böswillige Handlung, mögliche grenzüberschreitende Auswirkungen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72 Stunden</w:t>
            </w:r>
          </w:p>
        </w:tc>
        <w:tc>
          <w:tcPr>
            <w:tcW w:type="dxa" w:w="2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Vorfallsmeldung</w:t>
            </w:r>
          </w:p>
        </w:tc>
        <w:tc>
          <w:tcPr>
            <w:tcW w:type="dxa" w:w="49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shd w:fill="EEF5FB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Bewertung des Sicherheitsvorfalls: Schweregrad, Auswirkungen, ggf. Kompromittierungsindikatoren (IoCs)</w:t>
            </w:r>
          </w:p>
        </w:tc>
      </w:tr>
      <w:tr>
        <w:tc>
          <w:tcPr>
            <w:tcW w:type="dxa" w:w="18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1 Monat</w:t>
            </w:r>
          </w:p>
        </w:tc>
        <w:tc>
          <w:tcPr>
            <w:tcW w:type="dxa" w:w="260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Abschlussbericht</w:t>
            </w:r>
          </w:p>
        </w:tc>
        <w:tc>
          <w:tcPr>
            <w:tcW w:type="dxa" w:w="4960"/>
            <w:tcBorders>
              <w:top w:val="single" w:color="BBBBBB" w:sz="6"/>
              <w:left w:val="single" w:color="BBBBBB" w:sz="6"/>
              <w:bottom w:val="single" w:color="BBBBBB" w:sz="6"/>
              <w:right w:val="single" w:color="BBBBBB" w:sz="6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00000"/>
                <w:sz w:val="22"/>
                <w:szCs w:val="22"/>
              </w:rPr>
              <w:t xml:space="preserve">Ausführliche Beschreibung, Ursachenanalyse, ergriffene und geplante Abhilfemaßnahmen, grenzüberschreitende Folgen</w:t>
            </w:r>
          </w:p>
        </w:tc>
      </w:tr>
    </w:tbl>
    <w:p>
      <w:r>
        <w:t xml:space="preserve"/>
      </w:r>
    </w:p>
    <w:p>
      <w:pPr>
        <w:pStyle w:val="Heading3"/>
        <w:spacing w:after="100" w:before="2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Mindestmaßnahmen (Art. 21 NIS-2)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Konzepte für Risikoanalyse und Informationssicherheit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Bewältigung von Sicherheitsvorfällen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Business Continuity Management und Backup-Strategie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Sicherheit der Lieferkette (Supply Chain Security)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Sicherheit bei Erwerb, Entwicklung und Wartung von IT-Systemen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Bewertung der Wirksamkeit der Sicherheitsmaßnahmen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Schulung und Cyber-Hygiene der Mitarbeitenden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Konzepte für Kryptographie und Verschlüsselung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Sicherheit des Personals, Zugriffskontrolle, Asset-Management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Einsatz von MFA, gesicherter Kommunikation und Notfallkommunikation</w:t>
      </w:r>
    </w:p>
    <w:p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F0A500" w:sz="6"/>
              <w:left w:val="single" w:color="F0A500" w:sz="24"/>
              <w:bottom w:val="single" w:color="F0A500" w:sz="6"/>
              <w:right w:val="single" w:color="F0A500" w:sz="6"/>
            </w:tcBorders>
            <w:shd w:fill="EEF5FB" w:color="auto" w:val="clear"/>
            <w:tcMar>
              <w:top w:type="dxa" w:w="140"/>
              <w:left w:type="dxa" w:w="200"/>
              <w:bottom w:type="dxa" w:w="140"/>
              <w:right w:type="dxa" w:w="1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⚠ Geschäftsleitungshaftung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Geschäftsführer und Vorstände sind persönlich für die Einhaltung der NIS-2-Pflichten verantwortlich.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Sie müssen die Umsetzung genehmigen, deren Wirksamkeit überwachen und verpflichtend an Cybersicherheits-Schulungen teilnehmen.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Verstöße können zu persönlicher Haftung führen – Haftungsausschlüsse durch die Gesellschaft sind unzulässig.</w:t>
            </w:r>
          </w:p>
        </w:tc>
      </w:tr>
    </w:tbl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2.3 Cyber Resilience Act (CRA)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Die Verordnung (EU) 2024/2847 trat am 10.12.2024 in Kraft; wesentliche Pflichten gelten ab 11.12.2027. Der CRA richtet sich an Hersteller, Importeure und Händler von Produkten mit digitalen Elementen („PmdE").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Kernanforderungen: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Security by Design und Security by Default über den gesamten Produktlebenszyklus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Verpflichtende Sicherheitsupdates – mindestens 5 Jahre nach Inverkehrbringen (oder erwartete Nutzungsdauer)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Bereitstellung einer SBOM (Software Bill of Materials)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Meldepflicht für aktiv ausgenutzte Schwachstellen binnen 24 h an ENISA, Abschlussbericht nach 14 Tagen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CE-Kennzeichnung als Nachweis der Konformität</w:t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2.4 BFSG – Barrierefreiheitsstärkungsgesetz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Das BFSG setzt die EU-Richtlinie 2019/882 (European Accessibility Act) in deutsches Recht um und gilt seit 28.06.2025. Es verpflichtet Unternehmen, digitale Produkte und Dienstleistungen barrierefrei anzubieten.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Betroffene Produkte und Dienstleistungen (Auswahl):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Webshops und E-Commerce-Dienstleistungen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Online-Banking und Zahlungsdienste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Personenbeförderungsdienste (Fahrkartenautomaten, Apps)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Telekommunikationsdienste und Messaging-Apps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E-Books und Lesesoftware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Hardware wie Geldautomaten, Check-in-Automaten</w:t>
      </w:r>
    </w:p>
    <w:p>
      <w:r>
        <w:t xml:space="preserve"/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Grundprinzipien (WCAG 2.1 / 2.2, Level AA):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Wahrnehmbar – Inhalte für alle Sinne zugänglich (Alt-Texte, Untertitel, Kontraste)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Bedienbar – Tastatur-Navigation, ausreichend Zeit, Orientierungshilfen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Verständlich – klare Sprache, vorhersagbares Verhalten, Eingabehilfen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Robust – kompatibel mit assistiven Technologien (Screenreader etc.)</w:t>
      </w:r>
    </w:p>
    <w:p>
      <w:r>
        <w:t xml:space="preserve"/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Ausnahmen:</w:t>
      </w:r>
      <w:r>
        <w:rPr>
          <w:rFonts w:ascii="Calibri" w:cs="Calibri" w:eastAsia="Calibri" w:hAnsi="Calibri"/>
          <w:sz w:val="22"/>
          <w:szCs w:val="22"/>
        </w:rPr>
        <w:t xml:space="preserve"> Kleinstunternehmen (&lt; 10 Beschäftigte UND Jahresumsatz ≤ 2 Mio. €) sind bei Dienstleistungen ausgenommen – nicht jedoch beim Verkauf von Produkten.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Sanktionen:</w:t>
      </w:r>
      <w:r>
        <w:rPr>
          <w:rFonts w:ascii="Calibri" w:cs="Calibri" w:eastAsia="Calibri" w:hAnsi="Calibri"/>
          <w:sz w:val="22"/>
          <w:szCs w:val="22"/>
        </w:rPr>
        <w:t xml:space="preserve"> Bußgelder bis 100.000 €, Untersagung des Inverkehrbringens durch die Marktüberwachungsbehörden.</w:t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2.5 Green IT und Nachhaltigkeit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Nachhaltige IT ist ein Querschnittsthema des neuen Rahmenlehrplans und wird zunehmend gesetzlich reguliert.</w:t>
      </w:r>
    </w:p>
    <w:p>
      <w:pPr>
        <w:pStyle w:val="Heading3"/>
        <w:spacing w:after="100" w:before="2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Kernkennzahl: PUE (Power Usage Effectiveness)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PUE = </w:t>
      </w:r>
      <w:r>
        <w:rPr>
          <w:rFonts w:ascii="Consolas" w:cs="Consolas" w:eastAsia="Consolas" w:hAnsi="Consolas"/>
          <w:sz w:val="22"/>
          <w:szCs w:val="22"/>
        </w:rPr>
        <w:t xml:space="preserve">Gesamt-Energieverbrauch Rechenzentrum / Energieverbrauch der IT-Geräte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Idealwert: 1,0 (theoretisch, nicht erreichbar)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Durchschnitt moderner Rechenzentren: 1,3 – 1,6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Ab 01.07.2027 (EnEfG): Neubau-Rechenzentren müssen PUE ≤ 1,2 erreichen</w:t>
      </w:r>
    </w:p>
    <w:p>
      <w:pPr>
        <w:pStyle w:val="Heading3"/>
        <w:spacing w:after="100" w:before="2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Rechtliche Rahmenbedingungen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Energieeffizienzgesetz (EnEfG, seit 18.11.2023): Pflicht zu Energiemanagement, Abwärmenutzung, Mindest-Anteil erneuerbarer Energien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EU-Ecodesign-Verordnung (ESPR 2024): Anforderungen an Reparierbarkeit, Langlebigkeit, Ressourceneffizienz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CSRD (Corporate Sustainability Reporting Directive): Berichtspflicht zu Nachhaltigkeit auch in der IT</w:t>
      </w:r>
    </w:p>
    <w:p>
      <w:pPr>
        <w:pStyle w:val="Heading3"/>
        <w:spacing w:after="100" w:before="2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Technische Maßnahmen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Virtualisierung und Containerisierung zur besseren Hardware-Auslastung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Abwärmenutzung (z. B. Einspeisung ins Fernwärmenetz)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Server-Konsolidierung, effiziente Netzteile (80 PLUS Platinum/Titanium)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Automatisches Abschalten ungenutzter Systeme, Cold/Warm/Hot-Tiering beim Storage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Lebenszyklus-Management: Refurbishment und fachgerechtes Recycling</w:t>
      </w:r>
    </w:p>
    <w:p>
      <w:pPr>
        <w:pStyle w:val="Heading2"/>
        <w:spacing w:after="140" w:before="280"/>
      </w:pPr>
      <w:r>
        <w:rPr>
          <w:rFonts w:ascii="Calibri" w:cs="Calibri" w:eastAsia="Calibri" w:hAnsi="Calibri"/>
          <w:b/>
          <w:bCs/>
          <w:color w:val="0066AA"/>
          <w:sz w:val="26"/>
          <w:szCs w:val="26"/>
        </w:rPr>
        <w:t xml:space="preserve">2.6 Post-Quantum-Kryptographie (PQC)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Quantencomputer werden voraussichtlich in 10–20 Jahren die derzeit üblichen asymmetrischen Verfahren (RSA, ECC, DH) brechen können. Das BSI empfiehlt bereits heute die Migration auf quantensichere Verfahren („Harvest now, decrypt later" – Angreifer speichern verschlüsselte Daten, um sie später zu entschlüsseln).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Vom NIST standardisierte Verfahren (seit 2024):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ML-KEM (CRYSTALS-Kyber) – Schlüsselkapselung / Key Encapsulation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ML-DSA (CRYSTALS-Dilithium) – digitale Signatur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SLH-DSA (SPHINCS+) – hash-basierte Signatur als Alternative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BSI-Empfehlung: </w:t>
      </w:r>
      <w:r>
        <w:rPr>
          <w:rFonts w:ascii="Calibri" w:cs="Calibri" w:eastAsia="Calibri" w:hAnsi="Calibri"/>
          <w:sz w:val="22"/>
          <w:szCs w:val="22"/>
        </w:rPr>
        <w:t xml:space="preserve">Hybride Verfahren (klassisch + PQC) in der Übergangsphase, damit ein Defekt eines Verfahrens die Sicherheit nicht kompromittiert.</w:t>
      </w:r>
    </w:p>
    <w:p>
      <w:pPr>
        <w:pStyle w:val="Heading1"/>
        <w:pBdr>
          <w:bottom w:val="single" w:color="F0A500" w:sz="12" w:space="2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Teil 3: Zusammenspiel von Datenschutz und IT-Sicherheit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Gemeinsame Herausforderungen und Chancen (2025/2026):</w:t>
      </w:r>
    </w:p>
    <w:p>
      <w:pPr>
        <w:pStyle w:val="Heading3"/>
        <w:spacing w:after="100" w:before="2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Supply Chain Security (Software-Lieferkette)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Gefahr durch kompromittierte Drittanbieter-Software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Risiken für personenbezogene Daten bei Schwachstellen in Abhängigkeiten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Maßnahmen: SBOM, Update-Signaturen, Zero-Trust-Strategien, Lieferanten-Audits</w:t>
      </w:r>
    </w:p>
    <w:p>
      <w:pPr>
        <w:pStyle w:val="Heading3"/>
        <w:spacing w:after="100" w:before="2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Datenschutz by Design &amp; by Default (Art. 25 DSGVO)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Datenminimierung, Verschlüsselung, Zugriffskontrolle ab Werk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Voreinstellungen: immer die datensparsamste Option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Erfordert sichere IT-Strukturen als Basis</w:t>
      </w:r>
    </w:p>
    <w:p>
      <w:pPr>
        <w:pStyle w:val="Heading3"/>
        <w:spacing w:after="100" w:before="2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Künstliche Intelligenz + Datenschutz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KI schützt (Intrusion Detection, Anomalieerkennung) und gefährdet (unkontrollierte Datenerfassung)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AI Act und DSGVO greifen ineinander – doppelte Compliance erforderlich</w:t>
      </w:r>
    </w:p>
    <w:p>
      <w:pPr>
        <w:pStyle w:val="Heading3"/>
        <w:spacing w:after="100" w:before="2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Incident Reporting – Meldepflichten im Überblick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DSGVO Art. 33: Meldung an Aufsichtsbehörde binnen 72 Stunden bei Datenschutzverletzung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NIS-2: gestufte Meldung 24 h / 72 h / 1 Monat (siehe 2.2)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CRA: Meldung aktiv ausgenutzter Schwachstellen binnen 24 Stunden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IT-Sicherheit entscheidend für schnelle Erkennung und Reaktion</w:t>
      </w:r>
    </w:p>
    <w:p>
      <w:pPr>
        <w:pStyle w:val="Heading3"/>
        <w:spacing w:after="100" w:before="20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Regulatorische Integration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EU-Rahmen: DSGVO, NIS-2, AI Act, CRA, DSA, DMA, BFSG greifen ineinander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Unternehmen müssen Datenschutz, Sicherheit, Barrierefreiheit und Nachhaltigkeit ganzheitlich denken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Compliance-Management-Systeme (CMS) bündeln die Anforderungen</w:t>
      </w:r>
    </w:p>
    <w:p>
      <w:pPr>
        <w:pStyle w:val="Heading1"/>
        <w:pBdr>
          <w:bottom w:val="single" w:color="F0A500" w:sz="12" w:space="2"/>
        </w:pBdr>
        <w:spacing w:after="180" w:before="36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Fazit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Datenschutz und IT-Sicherheit verschmelzen zunehmend zu einer einheitlichen strategischen Disziplin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Supply Chain Security bleibt 2025/2026 ein Schlüsselfaktor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AI Act und NIS-2 prägen die Compliance-Landschaft – Geschäftsleitung persönlich verantwortlich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BFSG erweitert die Pflichten auf Barrierefreiheit digitaler Produkte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Green IT und Post-Quantum-Kryptographie sind die Zukunftsthemen, die heute vorbereitet werden müssen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Nur wer alle Bereiche integriert betrachtet, kann nachhaltige Compliance und Sicherheit gewährleisten</w:t>
      </w:r>
    </w:p>
    <w:p>
      <w:r>
        <w:t xml:space="preserve"/>
      </w:r>
    </w:p>
    <w:p>
      <w:pPr>
        <w:pBdr>
          <w:top w:val="single" w:color="F0A500" w:sz="12" w:space="6"/>
        </w:pBdr>
        <w:spacing w:before="240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Quellen und weiterführende Literatur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BSI – Lagebericht zur IT-Sicherheit in Deutschland (jährlich)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Verordnung (EU) 2024/1689 – AI Act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Richtlinie (EU) 2022/2555 – NIS-2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Verordnung (EU) 2024/2847 – Cyber Resilience Act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Barrierefreiheitsstärkungsgesetz (BFSG) / Richtlinie (EU) 2019/882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Energieeffizienzgesetz (EnEfG)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NIST SP 800-208 / FIPS 203–205 – Post-Quantum-Kryptographie</w:t>
      </w:r>
    </w:p>
    <w:sectPr>
      <w:headerReference w:type="default" r:id="rId7"/>
      <w:footerReference w:type="default" r:id="rId8"/>
      <w:pgSz w:w="11906" w:h="16838" w:orient="portrait"/>
      <w:pgMar w:top="1440" w:right="108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4"/>
      </w:pBdr>
      <w:tabs>
        <w:tab w:val="center" w:pos="4680"/>
        <w:tab w:val="right" w:pos="9360"/>
      </w:tabs>
    </w:pPr>
    <w:r>
      <w:rPr>
        <w:rFonts w:ascii="Calibri" w:cs="Calibri" w:eastAsia="Calibri" w:hAnsi="Calibri"/>
        <w:color w:val="666666"/>
        <w:sz w:val="18"/>
        <w:szCs w:val="18"/>
      </w:rPr>
      <w:t xml:space="preserve">Vor-/Nachname</w:t>
    </w:r>
    <w:r>
      <w:rPr>
        <w:rFonts w:ascii="Calibri" w:cs="Calibri" w:eastAsia="Calibri" w:hAnsi="Calibri"/>
        <w:color w:val="0066AA"/>
        <w:sz w:val="18"/>
        <w:szCs w:val="18"/>
      </w:rPr>
      <w:t xml:space="preserve">	bfw Lübeck</w:t>
    </w:r>
    <w:r>
      <w:rPr>
        <w:rFonts w:ascii="Calibri" w:cs="Calibri" w:eastAsia="Calibri" w:hAnsi="Calibri"/>
        <w:color w:val="666666"/>
        <w:sz w:val="18"/>
        <w:szCs w:val="18"/>
      </w:rPr>
      <w:t xml:space="preserve">	Seite </w:t>
    </w:r>
    <w:r>
      <w:rPr>
        <w:rFonts w:ascii="Calibri" w:cs="Calibri" w:eastAsia="Calibri" w:hAnsi="Calibri"/>
        <w:b/>
        <w:bCs/>
        <w:color w:val="003366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8"/>
        <w:szCs w:val="18"/>
      </w:rPr>
      <w:t xml:space="preserve"> von </w:t>
    </w:r>
    <w:r>
      <w:rPr>
        <w:rFonts w:ascii="Calibri" w:cs="Calibri" w:eastAsia="Calibri" w:hAnsi="Calibri"/>
        <w:b/>
        <w:bCs/>
        <w:color w:val="003366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2"/>
      </w:pBdr>
      <w:tabs>
        <w:tab w:val="right" w:pos="9360"/>
      </w:tabs>
    </w:pPr>
    <w:r>
      <w:rPr>
        <w:rFonts w:ascii="Calibri" w:cs="Calibri" w:eastAsia="Calibri" w:hAnsi="Calibri"/>
        <w:b/>
        <w:bCs/>
        <w:color w:val="003366"/>
        <w:sz w:val="18"/>
        <w:szCs w:val="18"/>
      </w:rPr>
      <w:t xml:space="preserve">IT-Sicherheit 2025/2026</w:t>
    </w:r>
    <w:r>
      <w:rPr>
        <w:rFonts w:ascii="Calibri" w:cs="Calibri" w:eastAsia="Calibri" w:hAnsi="Calibri"/>
        <w:color w:val="0066AA"/>
        <w:sz w:val="18"/>
        <w:szCs w:val="18"/>
      </w:rPr>
      <w:t xml:space="preserve">	Handout – Datenschutz &amp; IT-Sicherheit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80"/>
      </w:pPr>
    </w:lvl>
    <w:lvl w:ilvl="1" w15:tentative="1">
      <w:start w:val="1"/>
      <w:numFmt w:val="bullet"/>
      <w:lvlText w:val="–"/>
      <w:lvlJc w:val="left"/>
      <w:pPr>
        <w:ind w:left="840" w:hanging="280"/>
      </w:pPr>
    </w:lvl>
    <w:lvl w:ilvl="2" w15:tentative="1">
      <w:start w:val="1"/>
      <w:numFmt w:val="bullet"/>
      <w:lvlText w:val="·"/>
      <w:lvlJc w:val="left"/>
      <w:pPr>
        <w:ind w:left="12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60"/>
      <w:outlineLvl w:val="0"/>
    </w:pPr>
    <w:rPr>
      <w:rFonts w:ascii="Calibri" w:cs="Calibri" w:eastAsia="Calibri" w:hAnsi="Calibri"/>
      <w:b/>
      <w:bCs/>
      <w:color w:val="003366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40" w:before="280"/>
      <w:outlineLvl w:val="1"/>
    </w:pPr>
    <w:rPr>
      <w:rFonts w:ascii="Calibri" w:cs="Calibri" w:eastAsia="Calibri" w:hAnsi="Calibri"/>
      <w:b/>
      <w:bCs/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00" w:before="200"/>
      <w:outlineLvl w:val="2"/>
    </w:pPr>
    <w:rPr>
      <w:rFonts w:ascii="Calibri" w:cs="Calibri" w:eastAsia="Calibri" w:hAnsi="Calibri"/>
      <w:b/>
      <w:bCs/>
      <w:color w:val="003366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Aktuelle Themen Datenschutz und IT-Sicherheit 2025/2026</dc:title>
  <dc:creator>bfw Lübeck</dc:creator>
  <cp:lastModifiedBy>Un-named</cp:lastModifiedBy>
  <cp:revision>1</cp:revision>
  <dcterms:created xsi:type="dcterms:W3CDTF">2026-04-22T05:06:47.891Z</dcterms:created>
  <dcterms:modified xsi:type="dcterms:W3CDTF">2026-04-22T05:06:47.891Z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