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FIAE – AP2 2025/2026</w:t>
      </w:r>
    </w:p>
    <w:p>
      <w:pPr>
        <w:pBdr>
          <w:bottom w:val="single" w:color="F0A500" w:sz="24" w:space="8"/>
        </w:pBdr>
        <w:spacing w:after="2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Heiße Tipps für die Anwendungsentwicklung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Handout zur Prüfungsvorbereitung – Themen, die im neuen IHK-Katalog oft knapp oder gar nicht behandelt werden</w:t>
      </w:r>
    </w:p>
    <w:p>
      <w:r>
        <w:t xml:space="preserve"/>
      </w:r>
    </w:p>
    <w:p>
      <w:pPr>
        <w:pStyle w:val="Heading1"/>
        <w:pBdr>
          <w:bottom w:val="single" w:color="F0A500" w:sz="12" w:space="2"/>
        </w:pBdr>
        <w:spacing w:after="180" w:before="12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Abkürzungsverzeichnis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API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Application Programming Interface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CORS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Cross-Origin Resource Sharing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CSRF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Cross-Site Request Forgery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DRY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Don't Repeat Yourself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HATEOAS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Hypermedia as the Engine of Application State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HTTP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Hypertext Transfer Protocol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JWT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JSON Web Token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KISS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Keep It Simple, Stupid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OAuth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Open Authorization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OWASP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Open Web Application Security Project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PBKDF2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Password-Based Key Derivation Function 2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Regex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Regular Expression (Regulärer Ausdruck)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REST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Representational State Transfer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SOLID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Single Responsibility, Open-Closed, Liskov, Interface Segregation, Dependency Inversion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SQLi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SQL Injection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SSO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Single Sign-On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TDD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Test Driven Development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UML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Unified Modeling Language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XSS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Cross-Site Scripting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YAGNI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You Aren't Gonna Need It</w:t>
            </w:r>
          </w:p>
        </w:tc>
      </w:tr>
    </w:tbl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1. UML-Aktivitätsdiagramme – erweiterte Notation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Seit dem neuen IHK-Prüfungskatalog (gültig ab 2025) ersetzt das Aktivitätsdiagramm den klassischen Programmablaufplan (PAP) und das Struktogramm. In der AP2 können auch die erweiterten Elemente geprüft werden – nicht nur Start, Aktion und Entscheidung.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400"/>
        <w:gridCol w:w="4760"/>
      </w:tblGrid>
      <w:tr>
        <w:trPr>
          <w:tblHeader/>
        </w:trP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Element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Notation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Bedeutung / Einsatz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Start-/Endknoten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● (Start) / ⬤ (Ende)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Genau ein Startknoten pro Diagramm; beliebig viele Endknoten erlaubt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Aktion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abgerundetes Rechteck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Einzelner Arbeitsschritt / Aktivität im Ablauf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Entscheidung (Decision)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Raute (1 Eingang, ≥2 Ausgänge)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Bedingte Verzweigung mit Bedingungen in eckigen Klammern [Bedingung]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Zusammenführung (Merge)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Raute (≥2 Eingänge, 1 Ausgang)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Vereint alternative Pfade wieder – wartet NICHT auf alle Eingänge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Parallelisierung (Fork)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dicker horizontaler Balken (1 in, ≥2 out)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Startet parallele Abläufe gleichzeitig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Synchronisation (Join)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dicker horizontaler Balken (≥2 in, 1 out)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Wartet auf ALLE parallelen Pfade, bevor weitergemacht wird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Schwimmbahn (Partition)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vertikaler/horizontaler Bereich mit Titel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Zeigt Zuständigkeit / Rolle / System, das eine Aktion ausführt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Signal senden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Pfeil-Fünfeck nach rechts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Sendet asynchrones Signal an anderen Prozess/Partition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Signal empfangen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Pfeil-Fünfeck nach links / eingerückte Form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Wartet auf eingehendes Signal von außen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Zeitereignis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Sanduhr-Symbol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Löst zeitgesteuert aus (z. B. „nach 30 Tagen", „jeden Montag 8:00")</w:t>
            </w:r>
          </w:p>
        </w:tc>
      </w:tr>
      <w:tr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Objektknoten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Rechteck (nicht abgerundet)</w:t>
            </w:r>
          </w:p>
        </w:tc>
        <w:tc>
          <w:tcPr>
            <w:tcW w:type="dxa" w:w="4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Datenfluss zwischen Aktionen (Input/Output von Daten)</w:t>
            </w:r>
          </w:p>
        </w:tc>
      </w:tr>
    </w:tbl>
    <w:p>
      <w:r>
        <w:t xml:space="preserve"/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1.1 Decision vs. Merge – häufige Verwechslung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Decision (Raute):</w:t>
      </w:r>
      <w:r>
        <w:rPr>
          <w:rFonts w:ascii="Calibri" w:cs="Calibri" w:eastAsia="Calibri" w:hAnsi="Calibri"/>
          <w:sz w:val="22"/>
          <w:szCs w:val="22"/>
        </w:rPr>
        <w:t xml:space="preserve"> 1 Eingang, mehrere Ausgänge. Bedingungen an den Ausgangspfeilen in eckigen Klammern, z. B. </w:t>
      </w:r>
      <w:r>
        <w:rPr>
          <w:rFonts w:ascii="Consolas" w:cs="Consolas" w:eastAsia="Consolas" w:hAnsi="Consolas"/>
          <w:sz w:val="22"/>
          <w:szCs w:val="22"/>
        </w:rPr>
        <w:t xml:space="preserve">[Betrag &gt; 1000]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Merge (Raute):</w:t>
      </w:r>
      <w:r>
        <w:rPr>
          <w:rFonts w:ascii="Calibri" w:cs="Calibri" w:eastAsia="Calibri" w:hAnsi="Calibri"/>
          <w:sz w:val="22"/>
          <w:szCs w:val="22"/>
        </w:rPr>
        <w:t xml:space="preserve"> mehrere Eingänge, 1 Ausgang. Führt alternative Pfade nach einer Entscheidung wieder zusammen – wartet NICHT synchron.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Fork/Join (Balken):</w:t>
      </w:r>
      <w:r>
        <w:rPr>
          <w:rFonts w:ascii="Calibri" w:cs="Calibri" w:eastAsia="Calibri" w:hAnsi="Calibri"/>
          <w:sz w:val="22"/>
          <w:szCs w:val="22"/>
        </w:rPr>
        <w:t xml:space="preserve"> anders als Decision/Merge – Fork startet parallele Abläufe gleichzeitig, Join wartet auf ALLE parallelen Pfade.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1.2 Schwimmbahnen (Partitionen)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Schwimmbahnen teilen das Diagramm in Bereiche auf, die Zuständigkeiten zeigen (z. B. Kunde / Sachbearbeiter / System). Jede Aktion wird in der Bahn platziert, deren Rolle sie ausführt. Übergänge zwischen Bahnen zeigen Aufgabenwechsel.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6"/>
              <w:left w:val="single" w:color="F0A500" w:sz="24"/>
              <w:bottom w:val="single" w:color="F0A500" w:sz="6"/>
              <w:right w:val="single" w:color="F0A500" w:sz="6"/>
            </w:tcBorders>
            <w:shd w:fill="EEF5FB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💡 Prüfungstipp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Wenn im Szenario mehrere Beteiligte genannt werden (Kunde, Mitarbeiter, System, Drittanbieter), kommt fast immer ein Diagramm mit Schwimmbahnen dran.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Achte auf: In welcher Bahn startet der Ablauf? Welche Aktionen gehören zu welcher Rolle?</w:t>
            </w:r>
          </w:p>
        </w:tc>
      </w:tr>
    </w:tbl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1.3 Signale und Zeitereignisse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Signal senden: </w:t>
      </w:r>
      <w:r>
        <w:rPr>
          <w:rFonts w:ascii="Calibri" w:cs="Calibri" w:eastAsia="Calibri" w:hAnsi="Calibri"/>
          <w:sz w:val="22"/>
          <w:szCs w:val="22"/>
        </w:rPr>
        <w:t xml:space="preserve">Aktion löst ein Ereignis in einem anderen Prozess aus (asynchron, kein Warten auf Antwort).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Signal empfangen: </w:t>
      </w:r>
      <w:r>
        <w:rPr>
          <w:rFonts w:ascii="Calibri" w:cs="Calibri" w:eastAsia="Calibri" w:hAnsi="Calibri"/>
          <w:sz w:val="22"/>
          <w:szCs w:val="22"/>
        </w:rPr>
        <w:t xml:space="preserve">Prozess wartet auf ein externes Signal, bevor er weitermacht.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Zeitereignis (Sanduhr): </w:t>
      </w:r>
      <w:r>
        <w:rPr>
          <w:rFonts w:ascii="Calibri" w:cs="Calibri" w:eastAsia="Calibri" w:hAnsi="Calibri"/>
          <w:sz w:val="22"/>
          <w:szCs w:val="22"/>
        </w:rPr>
        <w:t xml:space="preserve">Löst zeitgesteuert aus – z. B. „nach 14 Tagen ohne Bezahlung: Mahnung senden".</w:t>
      </w:r>
    </w:p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2. Reguläre Ausdrücke (Regex)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Regex ist der Geheimtipp: steht im IHK-Katalog nur als „Zeichenkettenverarbeitung", taucht aber regelmäßig als kleine Teilaufgabe auf – z. B. „Welche Eingaben werden von folgendem Ausdruck akzeptiert?" oder „Schreiben Sie einen Ausdruck, der…".</w:t>
      </w:r>
    </w:p>
    <w:p>
      <w:r>
        <w:t xml:space="preserve"/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2.1 Metazeichen im Überblick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160"/>
        <w:gridCol w:w="2600"/>
      </w:tblGrid>
      <w:tr>
        <w:trPr>
          <w:tblHeader/>
        </w:trP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Zeichen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Bedeutung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Beispiel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.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Beliebiges Zeichen (außer Zeilenumbruch)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a.c  →  abc, a3c, a-c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^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Zeilenanfang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^Hallo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$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Zeilenende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Ende$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\d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Ziffer [0-9]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\d{5}  →  12345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\w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Wortzeichen [a-zA-Z0-9_]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\w+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\s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Whitespace (Leerzeichen, Tab, Zeilenumbruch)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\s+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[abc]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Zeichenklasse: a, b oder c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[aeiou]  →  Vokal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[^abc]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Negierte Zeichenklasse: NICHT a, b, c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[^0-9]  →  keine Ziffer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*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0 oder mehr Wiederholungen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a*  →  '', a, aa, …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+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1 oder mehr Wiederholungen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a+  →  a, aa, aaa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?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0 oder 1 (optional)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colou?r  →  color, colour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{n,m}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Zwischen n und m Wiederholungen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\d{2,4}  →  12, 123, 1234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|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Alternative (ODER)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cat|dog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( )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Gruppierung / Erfassung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(ab)+  →  ab, abab</w:t>
            </w:r>
          </w:p>
        </w:tc>
      </w:tr>
      <w:tr>
        <w:tc>
          <w:tcPr>
            <w:tcW w:type="dxa" w:w="1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0000"/>
                <w:sz w:val="22"/>
                <w:szCs w:val="22"/>
              </w:rPr>
              <w:t xml:space="preserve">\</w:t>
            </w:r>
          </w:p>
        </w:tc>
        <w:tc>
          <w:tcPr>
            <w:tcW w:type="dxa" w:w="51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Escape-Zeichen für Metazeichen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0000"/>
                <w:sz w:val="22"/>
                <w:szCs w:val="22"/>
              </w:rPr>
              <w:t xml:space="preserve">\.  →  echter Punkt</w:t>
            </w:r>
          </w:p>
        </w:tc>
      </w:tr>
    </w:tbl>
    <w:p>
      <w:r>
        <w:t xml:space="preserve"/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2.2 Klassische Muster für die Prüfung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Deutsche Postleitzahl (5 Ziffern, nicht mit 0 beginnend):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0066AA" w:sz="18"/>
              <w:bottom w:val="single" w:color="CCCCCC" w:sz="4"/>
              <w:right w:val="single" w:color="CCCCCC" w:sz="4"/>
            </w:tcBorders>
            <w:shd w:fill="F5F5F5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^[1-9][0-9]{4}$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E-Mail-Adresse (vereinfacht, IHK-typisch):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0066AA" w:sz="18"/>
              <w:bottom w:val="single" w:color="CCCCCC" w:sz="4"/>
              <w:right w:val="single" w:color="CCCCCC" w:sz="4"/>
            </w:tcBorders>
            <w:shd w:fill="F5F5F5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^[a-zA-Z0-9._-]+@[a-zA-Z0-9.-]+\.[a-zA-Z]{2,}$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Deutsche Telefonnummer (mit Vorwahl):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0066AA" w:sz="18"/>
              <w:bottom w:val="single" w:color="CCCCCC" w:sz="4"/>
              <w:right w:val="single" w:color="CCCCCC" w:sz="4"/>
            </w:tcBorders>
            <w:shd w:fill="F5F5F5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^0[1-9][0-9]{1,4}[ /-]?[0-9]{3,}$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Datum im Format TT.MM.JJJJ: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0066AA" w:sz="18"/>
              <w:bottom w:val="single" w:color="CCCCCC" w:sz="4"/>
              <w:right w:val="single" w:color="CCCCCC" w:sz="4"/>
            </w:tcBorders>
            <w:shd w:fill="F5F5F5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^(0[1-9]|[12][0-9]|3[01])\.(0[1-9]|1[012])\.\d{4}$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Starkes Passwort (mind. 8 Zeichen, Großbuchstabe, Kleinbuchstabe, Ziffer):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0066AA" w:sz="18"/>
              <w:bottom w:val="single" w:color="CCCCCC" w:sz="4"/>
              <w:right w:val="single" w:color="CCCCCC" w:sz="4"/>
            </w:tcBorders>
            <w:shd w:fill="F5F5F5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^(?=.*[a-z])(?=.*[A-Z])(?=.*\d).{8,}$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6"/>
              <w:left w:val="single" w:color="F0A500" w:sz="24"/>
              <w:bottom w:val="single" w:color="F0A500" w:sz="6"/>
              <w:right w:val="single" w:color="F0A500" w:sz="6"/>
            </w:tcBorders>
            <w:shd w:fill="EEF5FB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💡 Typische Prüfungsfrage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„Beschreiben Sie, welche Eingaben der Ausdruck ^[A-Z]{2,3}-\d{3,4}$ akzeptiert und geben Sie zwei gültige sowie zwei ungültige Beispiele an."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Antwort: 2-3 Großbuchstaben, Bindestrich, 3-4 Ziffern. Gültig: AB-123, XYZ-4567. Ungültig: ab-123 (kleine Buchstaben), AB-12 (nur 2 Ziffern).</w:t>
            </w:r>
          </w:p>
        </w:tc>
      </w:tr>
    </w:tbl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3. Clean Code &amp; SOLID-Prinzipien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Kommt gerne als Begründungs- oder Refactoring-Aufgabe: „Welches Prinzip wird hier verletzt? Schlagen Sie eine Verbesserung vor."</w:t>
      </w:r>
    </w:p>
    <w:p>
      <w:r>
        <w:t xml:space="preserve"/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3.1 Die SOLID-Prinzipien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200"/>
        <w:gridCol w:w="6360"/>
      </w:tblGrid>
      <w:tr>
        <w:trPr>
          <w:tblHeader/>
        </w:trPr>
        <w:tc>
          <w:tcPr>
            <w:tcW w:type="dxa" w:w="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Prinzip</w:t>
            </w:r>
          </w:p>
        </w:tc>
        <w:tc>
          <w:tcPr>
            <w:tcW w:type="dxa" w:w="6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Kernaussage</w:t>
            </w:r>
          </w:p>
        </w:tc>
      </w:tr>
      <w:tr>
        <w:tc>
          <w:tcPr>
            <w:tcW w:type="dxa" w:w="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</w:t>
            </w:r>
          </w:p>
        </w:tc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Single Responsibility</w:t>
            </w:r>
          </w:p>
        </w:tc>
        <w:tc>
          <w:tcPr>
            <w:tcW w:type="dxa" w:w="6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Eine Klasse soll genau einen Grund zur Änderung haben – eine einzige Verantwortung</w:t>
            </w:r>
          </w:p>
        </w:tc>
      </w:tr>
      <w:tr>
        <w:tc>
          <w:tcPr>
            <w:tcW w:type="dxa" w:w="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O</w:t>
            </w:r>
          </w:p>
        </w:tc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Open-Closed</w:t>
            </w:r>
          </w:p>
        </w:tc>
        <w:tc>
          <w:tcPr>
            <w:tcW w:type="dxa" w:w="6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Klassen sollen offen für Erweiterung, aber geschlossen für Modifikation sein (z. B. durch Polymorphie / Strategie-Muster)</w:t>
            </w:r>
          </w:p>
        </w:tc>
      </w:tr>
      <w:tr>
        <w:tc>
          <w:tcPr>
            <w:tcW w:type="dxa" w:w="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L</w:t>
            </w:r>
          </w:p>
        </w:tc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Liskov Substitution</w:t>
            </w:r>
          </w:p>
        </w:tc>
        <w:tc>
          <w:tcPr>
            <w:tcW w:type="dxa" w:w="6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Unterklassen müssen die Basisklasse ersetzen können, ohne das Verhalten des Programms zu ändern</w:t>
            </w:r>
          </w:p>
        </w:tc>
      </w:tr>
      <w:tr>
        <w:tc>
          <w:tcPr>
            <w:tcW w:type="dxa" w:w="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I</w:t>
            </w:r>
          </w:p>
        </w:tc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Interface Segregation</w:t>
            </w:r>
          </w:p>
        </w:tc>
        <w:tc>
          <w:tcPr>
            <w:tcW w:type="dxa" w:w="6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Viele kleine, spezifische Schnittstellen statt einer großen „Fat Interface"</w:t>
            </w:r>
          </w:p>
        </w:tc>
      </w:tr>
      <w:tr>
        <w:tc>
          <w:tcPr>
            <w:tcW w:type="dxa" w:w="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</w:t>
            </w:r>
          </w:p>
        </w:tc>
        <w:tc>
          <w:tcPr>
            <w:tcW w:type="dxa" w:w="2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Dependency Inversion</w:t>
            </w:r>
          </w:p>
        </w:tc>
        <w:tc>
          <w:tcPr>
            <w:tcW w:type="dxa" w:w="6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Abhängigkeiten sollen zu Abstraktionen (Interfaces) bestehen, nicht zu konkreten Implementierungen</w:t>
            </w:r>
          </w:p>
        </w:tc>
      </w:tr>
    </w:tbl>
    <w:p>
      <w:r>
        <w:t xml:space="preserve"/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3.2 Weitere wichtige Prinzipien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DRY (Don't Repeat Yourself): </w:t>
      </w:r>
      <w:r>
        <w:rPr>
          <w:rFonts w:ascii="Calibri" w:cs="Calibri" w:eastAsia="Calibri" w:hAnsi="Calibri"/>
          <w:sz w:val="22"/>
          <w:szCs w:val="22"/>
        </w:rPr>
        <w:t xml:space="preserve">Jede Information / Logik existiert nur an einer Stelle – Duplikate erschweren die Wartung.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KISS (Keep It Simple, Stupid): </w:t>
      </w:r>
      <w:r>
        <w:rPr>
          <w:rFonts w:ascii="Calibri" w:cs="Calibri" w:eastAsia="Calibri" w:hAnsi="Calibri"/>
          <w:sz w:val="22"/>
          <w:szCs w:val="22"/>
        </w:rPr>
        <w:t xml:space="preserve">So einfach wie möglich, so komplex wie nötig.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YAGNI (You Aren't Gonna Need It): </w:t>
      </w:r>
      <w:r>
        <w:rPr>
          <w:rFonts w:ascii="Calibri" w:cs="Calibri" w:eastAsia="Calibri" w:hAnsi="Calibri"/>
          <w:sz w:val="22"/>
          <w:szCs w:val="22"/>
        </w:rPr>
        <w:t xml:space="preserve">Keine Features auf Vorrat entwickeln – nur implementieren, was aktuell gebraucht wird.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Prinzip der geringsten Überraschung: </w:t>
      </w:r>
      <w:r>
        <w:rPr>
          <w:rFonts w:ascii="Calibri" w:cs="Calibri" w:eastAsia="Calibri" w:hAnsi="Calibri"/>
          <w:sz w:val="22"/>
          <w:szCs w:val="22"/>
        </w:rPr>
        <w:t xml:space="preserve">Code soll sich so verhalten, wie der Leser es erwartet – Namen, Rückgabewerte, Seiteneffekte konsistent halten.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3.3 Code Smells (Warnsignale)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Long Method: Methoden &gt; ca. 20 Zeilen → Verantwortung aufteilen (SRP)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God Class: Klasse mit zu vielen Verantwortlichkeiten → zerlegen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Magic Numbers: Zahlen ohne Erklärung im Code → als benannte Konstanten auslagern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Duplicate Code: Gleicher Code an mehreren Stellen → Methode extrahieren (DRY)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Long Parameter List: Mehr als 3–4 Parameter → Parameter-Objekt nutzen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Feature Envy: Methode greift häufiger auf eine andere Klasse zu als auf die eigene → verschieben</w:t>
      </w:r>
    </w:p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4. Unit Testing, TDD &amp; Testpyramide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4.1 Die Testpyramide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Modell für eine gesunde Verteilung der Testarten – viele schnelle Tests unten, wenige langsame Tests oben.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Unit-Tests (Basis, ca. 70 %): </w:t>
      </w:r>
      <w:r>
        <w:rPr>
          <w:rFonts w:ascii="Calibri" w:cs="Calibri" w:eastAsia="Calibri" w:hAnsi="Calibri"/>
          <w:sz w:val="22"/>
          <w:szCs w:val="22"/>
        </w:rPr>
        <w:t xml:space="preserve">Prüfen einzelne Methoden/Klassen isoliert. Schnell, viele, Entwickler-getrieben.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Integrationstests (Mitte, ca. 20 %): </w:t>
      </w:r>
      <w:r>
        <w:rPr>
          <w:rFonts w:ascii="Calibri" w:cs="Calibri" w:eastAsia="Calibri" w:hAnsi="Calibri"/>
          <w:sz w:val="22"/>
          <w:szCs w:val="22"/>
        </w:rPr>
        <w:t xml:space="preserve">Prüfen das Zusammenspiel mehrerer Komponenten (z. B. App + Datenbank).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End-to-End / UI-Tests (Spitze, ca. 10 %): </w:t>
      </w:r>
      <w:r>
        <w:rPr>
          <w:rFonts w:ascii="Calibri" w:cs="Calibri" w:eastAsia="Calibri" w:hAnsi="Calibri"/>
          <w:sz w:val="22"/>
          <w:szCs w:val="22"/>
        </w:rPr>
        <w:t xml:space="preserve">Prüfen das Gesamtsystem aus Nutzerperspektive. Langsam, brüchig, wenig.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4.2 Test Driven Development (TDD) – Red / Green / Refactor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B00020"/>
          <w:sz w:val="22"/>
          <w:szCs w:val="22"/>
        </w:rPr>
        <w:t xml:space="preserve">1. Red: </w:t>
      </w:r>
      <w:r>
        <w:rPr>
          <w:rFonts w:ascii="Calibri" w:cs="Calibri" w:eastAsia="Calibri" w:hAnsi="Calibri"/>
          <w:sz w:val="22"/>
          <w:szCs w:val="22"/>
        </w:rPr>
        <w:t xml:space="preserve">Test schreiben, der den gewünschten (noch nicht existenten) Code prüft – Test MUSS fehlschlagen.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2. Green: </w:t>
      </w:r>
      <w:r>
        <w:rPr>
          <w:rFonts w:ascii="Calibri" w:cs="Calibri" w:eastAsia="Calibri" w:hAnsi="Calibri"/>
          <w:sz w:val="22"/>
          <w:szCs w:val="22"/>
        </w:rPr>
        <w:t xml:space="preserve">Minimal-Implementierung schreiben, damit der Test grün wird – nicht mehr.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3. Refactor: </w:t>
      </w:r>
      <w:r>
        <w:rPr>
          <w:rFonts w:ascii="Calibri" w:cs="Calibri" w:eastAsia="Calibri" w:hAnsi="Calibri"/>
          <w:sz w:val="22"/>
          <w:szCs w:val="22"/>
        </w:rPr>
        <w:t xml:space="preserve">Code verbessern ohne die Tests zu brechen (Duplikate entfernen, Namen schärfen, Struktur verbessern).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4.3 Aufbau eines Unit-Tests – AAA-Pattern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0066AA" w:sz="18"/>
              <w:bottom w:val="single" w:color="CCCCCC" w:sz="4"/>
              <w:right w:val="single" w:color="CCCCCC" w:sz="4"/>
            </w:tcBorders>
            <w:shd w:fill="F5F5F5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// Arrange – Given: Ausgangszustand herstellen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Warenkorb wk = new Warenkorb();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wk.FuegeHinzu(new Artikel("Buch", 19.99m));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 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// Act – When: zu testende Aktion ausführen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decimal summe = wk.Gesamtsumme();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 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// Assert – Then: Ergebnis prüfen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Assert.AreEqual(19.99m, summe);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6"/>
              <w:left w:val="single" w:color="F0A500" w:sz="24"/>
              <w:bottom w:val="single" w:color="F0A500" w:sz="6"/>
              <w:right w:val="single" w:color="F0A500" w:sz="6"/>
            </w:tcBorders>
            <w:shd w:fill="EEF5FB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💡 FIRST-Prinzip für gute Unit-Tests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Fast – schnell ausführbar (Millisekunden)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Independent – unabhängig voneinander, beliebige Reihenfolge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Repeatable – immer gleiches Ergebnis, unabhängig von Umgebung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Self-validating – Test gibt klares Ja/Nein (keine manuelle Auswertung)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Timely – zeitnah zum Code geschrieben (idealerweise vorher – TDD)</w:t>
            </w:r>
          </w:p>
        </w:tc>
      </w:tr>
    </w:tbl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5. REST-APIs und API-Sicherheit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5.1 HTTP-Methoden und Idempotenz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GET: </w:t>
      </w:r>
      <w:r>
        <w:rPr>
          <w:rFonts w:ascii="Calibri" w:cs="Calibri" w:eastAsia="Calibri" w:hAnsi="Calibri"/>
          <w:sz w:val="22"/>
          <w:szCs w:val="22"/>
        </w:rPr>
        <w:t xml:space="preserve">Ressource lesen. Sicher (keine Änderung), idempotent (mehrfach aufrufbar ohne Seiteneffekt).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POST: </w:t>
      </w:r>
      <w:r>
        <w:rPr>
          <w:rFonts w:ascii="Calibri" w:cs="Calibri" w:eastAsia="Calibri" w:hAnsi="Calibri"/>
          <w:sz w:val="22"/>
          <w:szCs w:val="22"/>
        </w:rPr>
        <w:t xml:space="preserve">Neue Ressource anlegen. Weder sicher noch idempotent.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PUT: </w:t>
      </w:r>
      <w:r>
        <w:rPr>
          <w:rFonts w:ascii="Calibri" w:cs="Calibri" w:eastAsia="Calibri" w:hAnsi="Calibri"/>
          <w:sz w:val="22"/>
          <w:szCs w:val="22"/>
        </w:rPr>
        <w:t xml:space="preserve">Ressource vollständig ersetzen. Idempotent (gleicher Aufruf → gleicher Zustand).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PATCH: </w:t>
      </w:r>
      <w:r>
        <w:rPr>
          <w:rFonts w:ascii="Calibri" w:cs="Calibri" w:eastAsia="Calibri" w:hAnsi="Calibri"/>
          <w:sz w:val="22"/>
          <w:szCs w:val="22"/>
        </w:rPr>
        <w:t xml:space="preserve">Ressource teilweise ändern. Nicht zwingend idempotent.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DELETE: </w:t>
      </w:r>
      <w:r>
        <w:rPr>
          <w:rFonts w:ascii="Calibri" w:cs="Calibri" w:eastAsia="Calibri" w:hAnsi="Calibri"/>
          <w:sz w:val="22"/>
          <w:szCs w:val="22"/>
        </w:rPr>
        <w:t xml:space="preserve">Ressource löschen. Idempotent (zweites Löschen = nichts mehr zu tun).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5.2 Wichtige Status Codes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400"/>
        <w:gridCol w:w="5760"/>
      </w:tblGrid>
      <w:tr>
        <w:trPr>
          <w:tblHeader/>
        </w:trP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Code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Bedeutung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Typischer Einsatz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2E7D32"/>
                <w:sz w:val="22"/>
                <w:szCs w:val="22"/>
              </w:rPr>
              <w:t xml:space="preserve">200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OK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Anfrage erfolgreich, Antwort enthält Ressource (typisch für GET)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2E7D32"/>
                <w:sz w:val="22"/>
                <w:szCs w:val="22"/>
              </w:rPr>
              <w:t xml:space="preserve">201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Created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Neue Ressource erstellt (typisch für POST); Location-Header zeigt URI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2E7D32"/>
                <w:sz w:val="22"/>
                <w:szCs w:val="22"/>
              </w:rPr>
              <w:t xml:space="preserve">204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No Content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Erfolgreich, aber kein Body (typisch für DELETE oder PUT ohne Rückgabe)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F57C00"/>
                <w:sz w:val="22"/>
                <w:szCs w:val="22"/>
              </w:rPr>
              <w:t xml:space="preserve">301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Moved Permanently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Ressource dauerhaft verschoben; Client soll neue URL nutzen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B00020"/>
                <w:sz w:val="22"/>
                <w:szCs w:val="22"/>
              </w:rPr>
              <w:t xml:space="preserve">400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Bad Request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Ungültige Anfrage (z. B. Syntaxfehler, fehlende Pflichtfelder)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B00020"/>
                <w:sz w:val="22"/>
                <w:szCs w:val="22"/>
              </w:rPr>
              <w:t xml:space="preserve">401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Unauthorized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Authentifizierung fehlt oder ungültig – "Wer bist du?"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B00020"/>
                <w:sz w:val="22"/>
                <w:szCs w:val="22"/>
              </w:rPr>
              <w:t xml:space="preserve">403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Forbidden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Authentifiziert, aber keine Berechtigung – "Du darfst nicht"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B00020"/>
                <w:sz w:val="22"/>
                <w:szCs w:val="22"/>
              </w:rPr>
              <w:t xml:space="preserve">404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Not Found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Ressource existiert nicht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B00020"/>
                <w:sz w:val="22"/>
                <w:szCs w:val="22"/>
              </w:rPr>
              <w:t xml:space="preserve">409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Conflict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Konflikt mit aktuellem Zustand (z. B. doppelte E-Mail-Registrierung)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B00020"/>
                <w:sz w:val="22"/>
                <w:szCs w:val="22"/>
              </w:rPr>
              <w:t xml:space="preserve">422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Unprocessable Entity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Syntaktisch korrekt, aber semantisch ungültig (z. B. Validierungsfehler)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80E4F"/>
                <w:sz w:val="22"/>
                <w:szCs w:val="22"/>
              </w:rPr>
              <w:t xml:space="preserve">500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Internal Server Error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Allgemeiner Serverfehler – Ursache liegt auf Server-Seite</w:t>
            </w:r>
          </w:p>
        </w:tc>
      </w:tr>
      <w:tr>
        <w:tc>
          <w:tcPr>
            <w:tcW w:type="dxa" w:w="1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80E4F"/>
                <w:sz w:val="22"/>
                <w:szCs w:val="22"/>
              </w:rPr>
              <w:t xml:space="preserve">503</w:t>
            </w:r>
          </w:p>
        </w:tc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Service Unavailable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Server aktuell nicht erreichbar (Wartung, Überlastung)</w:t>
            </w:r>
          </w:p>
        </w:tc>
      </w:tr>
    </w:tbl>
    <w:p>
      <w:r>
        <w:t xml:space="preserve"/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5.3 JWT (JSON Web Token)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Kompaktes, signiertes Token-Format zur Übertragung von Informationen zwischen Systemen. Drei Base64-kodierte Teile, getrennt durch Punkte: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0066AA" w:sz="18"/>
              <w:bottom w:val="single" w:color="CCCCCC" w:sz="4"/>
              <w:right w:val="single" w:color="CCCCCC" w:sz="4"/>
            </w:tcBorders>
            <w:shd w:fill="F5F5F5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HEADER.PAYLOAD.SIGNATURE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Header: </w:t>
      </w:r>
      <w:r>
        <w:rPr>
          <w:rFonts w:ascii="Calibri" w:cs="Calibri" w:eastAsia="Calibri" w:hAnsi="Calibri"/>
          <w:sz w:val="22"/>
          <w:szCs w:val="22"/>
        </w:rPr>
        <w:t xml:space="preserve">Typ und Signaturalgorithmus (z. B. HS256, RS256)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Payload: </w:t>
      </w:r>
      <w:r>
        <w:rPr>
          <w:rFonts w:ascii="Calibri" w:cs="Calibri" w:eastAsia="Calibri" w:hAnsi="Calibri"/>
          <w:sz w:val="22"/>
          <w:szCs w:val="22"/>
        </w:rPr>
        <w:t xml:space="preserve">Claims – Infos über den Nutzer (sub, exp, iat, roles). ACHTUNG: nur signiert, nicht verschlüsselt – keine Geheimnisse hinein!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Signature: </w:t>
      </w:r>
      <w:r>
        <w:rPr>
          <w:rFonts w:ascii="Calibri" w:cs="Calibri" w:eastAsia="Calibri" w:hAnsi="Calibri"/>
          <w:sz w:val="22"/>
          <w:szCs w:val="22"/>
        </w:rPr>
        <w:t xml:space="preserve">Kryptografische Signatur über Header + Payload – garantiert Integrität und Authentizität.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5.4 OAuth 2.0 – die wichtigsten Flows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Authorization Code Flow (+ PKCE): </w:t>
      </w:r>
      <w:r>
        <w:rPr>
          <w:rFonts w:ascii="Calibri" w:cs="Calibri" w:eastAsia="Calibri" w:hAnsi="Calibri"/>
          <w:sz w:val="22"/>
          <w:szCs w:val="22"/>
        </w:rPr>
        <w:t xml:space="preserve">Standard für Web- und Mobile-Apps mit Nutzerinteraktion. Seit 2024 ist PKCE auch für Web-Apps Pflicht.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Client Credentials Flow: </w:t>
      </w:r>
      <w:r>
        <w:rPr>
          <w:rFonts w:ascii="Calibri" w:cs="Calibri" w:eastAsia="Calibri" w:hAnsi="Calibri"/>
          <w:sz w:val="22"/>
          <w:szCs w:val="22"/>
        </w:rPr>
        <w:t xml:space="preserve">Maschine-zu-Maschine (z. B. Backend-Service spricht mit API) – kein Nutzer beteiligt.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Refresh Token Flow: </w:t>
      </w:r>
      <w:r>
        <w:rPr>
          <w:rFonts w:ascii="Calibri" w:cs="Calibri" w:eastAsia="Calibri" w:hAnsi="Calibri"/>
          <w:sz w:val="22"/>
          <w:szCs w:val="22"/>
        </w:rPr>
        <w:t xml:space="preserve">Neues Access Token ohne erneuten Login – Refresh Token muss sicher gespeichert werden.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6"/>
              <w:left w:val="single" w:color="F0A500" w:sz="24"/>
              <w:bottom w:val="single" w:color="F0A500" w:sz="6"/>
              <w:right w:val="single" w:color="F0A500" w:sz="6"/>
            </w:tcBorders>
            <w:shd w:fill="EEF5FB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💡 Authentifizierung vs. Autorisierung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Authentifizierung (401): Wer bist du? → Prüfung der Identität (Login, Token)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Autorisierung (403): Was darfst du? → Prüfung der Berechtigung (Rollen, Rechte)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OAuth 2.0 = Autorisierungs-Framework. OpenID Connect (OIDC) = Authentifizierungs-Schicht auf OAuth 2.0.</w:t>
            </w:r>
          </w:p>
        </w:tc>
      </w:tr>
    </w:tbl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6. OWASP Top 10 (Stand 2021)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Die zehn häufigsten Schwachstellen in Web-Anwendungen. Prüfungstauglich als einzelne Teilaufgabe („Welche Maßnahme gegen SQL-Injection?") oder als Risiko-Analyse in einer Szenario-Aufgabe.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700"/>
        <w:gridCol w:w="5760"/>
      </w:tblGrid>
      <w:tr>
        <w:trPr>
          <w:tblHeader/>
        </w:trP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Rang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Kategorie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Gegenmaßnahme (Beispiel)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A01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Broken Access Control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Server-seitige Autorisierungsprüfung bei jedem Zugriff, Default-Deny, rollenbasierte Zugriffskontrolle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A02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Cryptographic Failures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TLS 1.3, aktuelle Algorithmen, Passwort-Hashing mit bcrypt/Argon2/PBKDF2, keine Klartext-Speicherung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A03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Injection (z. B. SQLi, XSS)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Prepared Statements, Parametrisierung, Input-Validation, Output-Encoding, ORM nutzen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A04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Insecure Design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Threat Modeling, Security by Design, sichere Design-Patterns, Security-Reviews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A05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Security Misconfiguration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Härtung von Default-Konfigurationen, Entfernen nicht benötigter Features, automatisierte Konfig-Prüfung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A06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Vulnerable &amp; Outdated Components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Dependency-Scanner, regelmäßige Updates, SBOM, Dependabot/Renovate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A07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Identification &amp; Authentication Failures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MFA, sichere Session-Verwaltung, Brute-Force-Schutz, keine Default-Passwörter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A08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Software &amp; Data Integrity Failures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Signaturen bei Updates, Integritätsprüfung von Abhängigkeiten, geschützte CI/CD-Pipelines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A09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Security Logging &amp; Monitoring Failures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Strukturiertes Logging, zentrales SIEM, Alerting bei Anomalien, Audit-Trails</w:t>
            </w:r>
          </w:p>
        </w:tc>
      </w:tr>
      <w:tr>
        <w:tc>
          <w:tcPr>
            <w:tcW w:type="dxa" w:w="9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A10</w:t>
            </w:r>
          </w:p>
        </w:tc>
        <w:tc>
          <w:tcPr>
            <w:tcW w:type="dxa" w:w="27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Server-Side Request Forgery (SSRF)</w:t>
            </w:r>
          </w:p>
        </w:tc>
        <w:tc>
          <w:tcPr>
            <w:tcW w:type="dxa" w:w="57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URL-Allowlisting, Netzwerksegmentierung, keine User-Input als URL ohne Validierung</w:t>
            </w:r>
          </w:p>
        </w:tc>
      </w:tr>
    </w:tbl>
    <w:p>
      <w:r>
        <w:t xml:space="preserve"/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6.1 SQL-Injection – Klassiker ausführlich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B00020"/>
          <w:sz w:val="22"/>
          <w:szCs w:val="22"/>
        </w:rPr>
        <w:t xml:space="preserve">Unsichere Query (NICHT so machen):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0066AA" w:sz="18"/>
              <w:bottom w:val="single" w:color="CCCCCC" w:sz="4"/>
              <w:right w:val="single" w:color="CCCCCC" w:sz="4"/>
            </w:tcBorders>
            <w:shd w:fill="F5F5F5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string sql = "SELECT * FROM users WHERE name = '" + input + "'";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// Angriff: input = ' OR '1'='1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// Resultierende Query liefert ALLE Nutzer zurück!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Sichere Variante mit Prepared Statement: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0066AA" w:sz="18"/>
              <w:bottom w:val="single" w:color="CCCCCC" w:sz="4"/>
              <w:right w:val="single" w:color="CCCCCC" w:sz="4"/>
            </w:tcBorders>
            <w:shd w:fill="F5F5F5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string sql = "SELECT * FROM users WHERE name = @name";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cmd.Parameters.AddWithValue("@name", input);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// Input wird vom Treiber als Wert behandelt, nicht als SQL-Befehl</w:t>
            </w:r>
          </w:p>
        </w:tc>
      </w:tr>
    </w:tbl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6.2 XSS (Cross-Site Scripting)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Stored XSS: </w:t>
      </w:r>
      <w:r>
        <w:rPr>
          <w:rFonts w:ascii="Calibri" w:cs="Calibri" w:eastAsia="Calibri" w:hAnsi="Calibri"/>
          <w:sz w:val="22"/>
          <w:szCs w:val="22"/>
        </w:rPr>
        <w:t xml:space="preserve">Schadcode dauerhaft auf dem Server gespeichert (z. B. in Kommentarfeld) und bei jedem Seitenaufruf ausgeliefert.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Reflected XSS: </w:t>
      </w:r>
      <w:r>
        <w:rPr>
          <w:rFonts w:ascii="Calibri" w:cs="Calibri" w:eastAsia="Calibri" w:hAnsi="Calibri"/>
          <w:sz w:val="22"/>
          <w:szCs w:val="22"/>
        </w:rPr>
        <w:t xml:space="preserve">Schadcode in einem Link (Parameter) und vom Server zurückgespiegelt.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DOM-based XSS: </w:t>
      </w:r>
      <w:r>
        <w:rPr>
          <w:rFonts w:ascii="Calibri" w:cs="Calibri" w:eastAsia="Calibri" w:hAnsi="Calibri"/>
          <w:sz w:val="22"/>
          <w:szCs w:val="22"/>
        </w:rPr>
        <w:t xml:space="preserve">Manipulation der DOM-Struktur im Browser durch JavaScript – Server ist nicht involviert.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Gegenmaßnahmen: </w:t>
      </w:r>
      <w:r>
        <w:rPr>
          <w:rFonts w:ascii="Calibri" w:cs="Calibri" w:eastAsia="Calibri" w:hAnsi="Calibri"/>
          <w:sz w:val="22"/>
          <w:szCs w:val="22"/>
        </w:rPr>
        <w:t xml:space="preserve">Output-Encoding kontextabhängig (HTML, Attribut, JS, URL), Content Security Policy (CSP), HTTP-Header </w:t>
      </w:r>
      <w:r>
        <w:rPr>
          <w:rFonts w:ascii="Consolas" w:cs="Consolas" w:eastAsia="Consolas" w:hAnsi="Consolas"/>
          <w:sz w:val="22"/>
          <w:szCs w:val="22"/>
        </w:rPr>
        <w:t xml:space="preserve">X-Content-Type-Options</w:t>
      </w:r>
      <w:r>
        <w:rPr>
          <w:rFonts w:ascii="Calibri" w:cs="Calibri" w:eastAsia="Calibri" w:hAnsi="Calibri"/>
          <w:sz w:val="22"/>
          <w:szCs w:val="22"/>
        </w:rPr>
        <w:t xml:space="preserve">, sichere Frameworks (React, Angular, Blazor) mit eingebautem Escaping.</w:t>
      </w:r>
    </w:p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Prüfungsstrategie – was wahrscheinlich dran kommt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B00020"/>
          <w:sz w:val="22"/>
          <w:szCs w:val="22"/>
        </w:rPr>
        <w:t xml:space="preserve">Fast sicher: </w:t>
      </w:r>
      <w:r>
        <w:rPr>
          <w:rFonts w:ascii="Calibri" w:cs="Calibri" w:eastAsia="Calibri" w:hAnsi="Calibri"/>
          <w:sz w:val="22"/>
          <w:szCs w:val="22"/>
        </w:rPr>
        <w:t xml:space="preserve">Aktivitätsdiagramm als Hauptaufgabe (mit mindestens einer Schwimmbahn-Variante), Unit-Test / TDD als Teilfrage.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F57C00"/>
          <w:sz w:val="22"/>
          <w:szCs w:val="22"/>
        </w:rPr>
        <w:t xml:space="preserve">Sehr wahrscheinlich: </w:t>
      </w:r>
      <w:r>
        <w:rPr>
          <w:rFonts w:ascii="Calibri" w:cs="Calibri" w:eastAsia="Calibri" w:hAnsi="Calibri"/>
          <w:sz w:val="22"/>
          <w:szCs w:val="22"/>
        </w:rPr>
        <w:t xml:space="preserve">OWASP-Kategorie in Sicherheitsaufgabe (SQLi oder XSS als Klassiker), REST-Methoden + Status Codes, SOLID als Begründungsaufgabe.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Möglich / Geheimtipp: </w:t>
      </w:r>
      <w:r>
        <w:rPr>
          <w:rFonts w:ascii="Calibri" w:cs="Calibri" w:eastAsia="Calibri" w:hAnsi="Calibri"/>
          <w:sz w:val="22"/>
          <w:szCs w:val="22"/>
        </w:rPr>
        <w:t xml:space="preserve">Regex-Analyse (bestehenden Ausdruck erklären), JWT-Aufbau, OAuth-Flow-Wahl, Testpyramide zeichnen.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6"/>
              <w:left w:val="single" w:color="F0A500" w:sz="24"/>
              <w:bottom w:val="single" w:color="F0A500" w:sz="6"/>
              <w:right w:val="single" w:color="F0A500" w:sz="6"/>
            </w:tcBorders>
            <w:shd w:fill="EEF5FB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💡 Lernreihenfolge-Empfehlung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1. Aktivitätsdiagramme sicher zeichnen und lesen können – der wichtigste Punkt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2. OWASP Top 10 grob kennen, SQLi und XSS im Detail mit Gegenmaßnahme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3. HTTP-Status-Codes + REST-Methoden als Tabelle auswendig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4. SOLID kurz erklären können – für Refactoring-Begründungen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5. Regex lesen können (wichtiger als selbst schreiben!)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6. JWT-Aufbau (3 Teile) und OAuth-Flows (min. 2 unterscheiden können)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08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center" w:pos="4680"/>
        <w:tab w:val="right" w:pos="9360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Vor-/Nachname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b/>
        <w:bCs/>
        <w:color w:val="0033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b/>
        <w:bCs/>
        <w:color w:val="0033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2"/>
      </w:pBdr>
      <w:tabs>
        <w:tab w:val="right" w:pos="9360"/>
      </w:tabs>
    </w:pPr>
    <w:r>
      <w:rPr>
        <w:rFonts w:ascii="Calibri" w:cs="Calibri" w:eastAsia="Calibri" w:hAnsi="Calibri"/>
        <w:b/>
        <w:bCs/>
        <w:color w:val="003366"/>
        <w:sz w:val="18"/>
        <w:szCs w:val="18"/>
      </w:rPr>
      <w:t xml:space="preserve">FIAE – AP2 2025/2026</w:t>
    </w:r>
    <w:r>
      <w:rPr>
        <w:rFonts w:ascii="Calibri" w:cs="Calibri" w:eastAsia="Calibri" w:hAnsi="Calibri"/>
        <w:color w:val="0066AA"/>
        <w:sz w:val="18"/>
        <w:szCs w:val="18"/>
      </w:rPr>
      <w:t xml:space="preserve">	Handout – Heiße Tipps Anwendungsentwicklung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  <w:lvl w:ilvl="1" w15:tentative="1">
      <w:start w:val="1"/>
      <w:numFmt w:val="bullet"/>
      <w:lvlText w:val="–"/>
      <w:lvlJc w:val="left"/>
      <w:pPr>
        <w:ind w:left="8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Calibri" w:cs="Calibri" w:eastAsia="Calibri" w:hAnsi="Calibri"/>
      <w:b/>
      <w:bCs/>
      <w:color w:val="00336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Aktuelle Themen FIAE - AP2 Prüfungsvorbereitung 2025/2026</dc:title>
  <dc:creator>bfw Lübeck</dc:creator>
  <cp:lastModifiedBy>Un-named</cp:lastModifiedBy>
  <cp:revision>1</cp:revision>
  <dcterms:created xsi:type="dcterms:W3CDTF">2026-04-22T05:17:08.495Z</dcterms:created>
  <dcterms:modified xsi:type="dcterms:W3CDTF">2026-04-22T05:17:08.496Z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