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bfw – Unternehmen für Bildung  ·  LF 4 / Modul D  ·  FIAE &amp; FISI</w:t>
      </w:r>
    </w:p>
    <w:p>
      <w:pPr>
        <w:pBdr>
          <w:bottom w:val="single" w:color="0066AA" w:sz="8" w:space="5"/>
        </w:pBd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Handout: Schutzbedarfsanalyse</w:t>
      </w:r>
    </w:p>
    <w:p>
      <w:pPr>
        <w:spacing w:after="60" w:before="40"/>
        <w:jc w:val="center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Begleitmaterial zur Einführungspräsentation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Szenario: MedZentrum Lübeck GmbH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Ambulantes Gesundheitszentrum mit 6 Arztpraxen, Physiotherapie und Zentrallabor, 45 Mitarbeitende.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Täglich werden sensible Patientendaten verarbeitet: Befunde, Diagnosen, Abrechnungen.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Auftrag: Als IT-Fachkraft die IT-Sicherheit bewerten und Schutzmaßnahmen empfehlen.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Datenschutz und Datensicherheit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500"/>
        <w:gridCol w:w="2900"/>
        <w:gridCol w:w="2506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Schützt</w:t>
            </w:r>
          </w:p>
        </w:tc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Ziel</w:t>
            </w:r>
          </w:p>
        </w:tc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Rechtsgrundlage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Datenschutz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Personen (personenbezogene Daten)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Informationelle Selbstbestimmung</w:t>
            </w:r>
          </w:p>
        </w:tc>
        <w:tc>
          <w:tcPr>
            <w:tcW w:type="dxa" w:w="2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DSGVO, BDSG, SGB V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Datensicherheit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 jeder Art</w:t>
            </w:r>
          </w:p>
        </w:tc>
        <w:tc>
          <w:tcPr>
            <w:tcW w:type="dxa" w:w="2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Vertraulichkeit, Integrität, Verfügbarkeit</w:t>
            </w:r>
          </w:p>
        </w:tc>
        <w:tc>
          <w:tcPr>
            <w:tcW w:type="dxa" w:w="2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BSI-Gesetz, ISO 27001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003366"/>
          <w:sz w:val="19"/>
          <w:szCs w:val="19"/>
        </w:rPr>
        <w:t xml:space="preserve">Merksatz: 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Datenschutz ist das 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Ziel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 – was geschützt werden muss. Datensicherheit ist das 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Mittel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 – wie der Schutz technisch umgesetzt wird. Ohne Datensicherheit gibt es keinen wirksamen Datenschutz.</w:t>
      </w:r>
    </w:p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Bedrohungen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3906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W w:type="dxa" w:w="4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Beispiele</w:t>
            </w:r>
          </w:p>
        </w:tc>
        <w:tc>
          <w:tcPr>
            <w:tcW w:type="dxa" w:w="3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MedZentrum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Mensch (intern)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Fehler, Fahrlässigkeit, Sabotage, Datendiebstahl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Befund an falschen Empfänger gesendet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Mensch (extern)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Hacker, organisierte Kriminalität, staatliche Akteure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Ransomware-Angriff auf das PVS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Technisch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Hardwareausfall, Softwarefehler, Stromausfall, Überhitzung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Ausfall des Laborservers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Höhere Gewalt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Brand, Hochwasser, Blitzschlag, Rohrbruch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Wasserschaden im Serverraum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BSI-Grundschutz: elementare Gefährdungen (Auswahl)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3600"/>
        <w:gridCol w:w="5406"/>
      </w:tblGrid>
      <w:tr>
        <w:trPr>
          <w:tblHeader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Gefährdung</w:t>
            </w:r>
          </w:p>
        </w:tc>
        <w:tc>
          <w:tcPr>
            <w:tcW w:type="dxa" w:w="54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 0.14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Ausspähen von Informationen</w:t>
            </w:r>
          </w:p>
        </w:tc>
        <w:tc>
          <w:tcPr>
            <w:tcW w:type="dxa" w:w="5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Abhören des Praxis-WLANs</w:t>
            </w:r>
          </w:p>
        </w:tc>
      </w:tr>
      <w:tr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 0.19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Offenlegung schützenswerter Daten</w:t>
            </w:r>
          </w:p>
        </w:tc>
        <w:tc>
          <w:tcPr>
            <w:tcW w:type="dxa" w:w="5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Akte an falschen Empfänger</w:t>
            </w:r>
          </w:p>
        </w:tc>
      </w:tr>
      <w:tr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 0.22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Manipulation von Informationen</w:t>
            </w:r>
          </w:p>
        </w:tc>
        <w:tc>
          <w:tcPr>
            <w:tcW w:type="dxa" w:w="5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Laborwert in der Datenbank verfälscht</w:t>
            </w:r>
          </w:p>
        </w:tc>
      </w:tr>
      <w:tr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 0.25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Ausfall von Geräten oder Systemen</w:t>
            </w:r>
          </w:p>
        </w:tc>
        <w:tc>
          <w:tcPr>
            <w:tcW w:type="dxa" w:w="5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Terminverwaltung nicht erreichbar</w:t>
            </w:r>
          </w:p>
        </w:tc>
      </w:tr>
      <w:tr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 0.39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Schadprogramme</w:t>
            </w:r>
          </w:p>
        </w:tc>
        <w:tc>
          <w:tcPr>
            <w:tcW w:type="dxa" w:w="5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Ransomware verschlüsselt alle Akten</w:t>
            </w:r>
          </w:p>
        </w:tc>
      </w:tr>
      <w:tr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 0.43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Einspielen von Nachrichten</w:t>
            </w:r>
          </w:p>
        </w:tc>
        <w:tc>
          <w:tcPr>
            <w:tcW w:type="dxa" w:w="5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Phishing-Mail an die Praxisassistenz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Gängige Cyberangriffe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300"/>
        <w:gridCol w:w="2300"/>
        <w:gridCol w:w="2406"/>
      </w:tblGrid>
      <w:tr>
        <w:trPr>
          <w:tblHeader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Angriff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24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Gegenmaßnahme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Phishing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Täuschende E-Mails oder Links</w:t>
            </w:r>
          </w:p>
        </w:tc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2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E-Mail-Filter, Schulung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Ransomware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Verschlüsselung mit Lösegeldforderung</w:t>
            </w:r>
          </w:p>
        </w:tc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Verfügbarkeit, Integrität</w:t>
            </w:r>
          </w:p>
        </w:tc>
        <w:tc>
          <w:tcPr>
            <w:tcW w:type="dxa" w:w="2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Offline-Backup, EDR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Social Engineering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Psychologische Manipulation von Personen</w:t>
            </w:r>
          </w:p>
        </w:tc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2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Awareness, Rückrufverfahren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Man-in-the-Middle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Einklinken in laufende Kommunikation</w:t>
            </w:r>
          </w:p>
        </w:tc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Vertraulichkeit, Integrität</w:t>
            </w:r>
          </w:p>
        </w:tc>
        <w:tc>
          <w:tcPr>
            <w:tcW w:type="dxa" w:w="2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TLS, VPN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SQL-Injection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Schadcode über Eingabefelder in die Datenbank</w:t>
            </w:r>
          </w:p>
        </w:tc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Vertraulichkeit, Integrität</w:t>
            </w:r>
          </w:p>
        </w:tc>
        <w:tc>
          <w:tcPr>
            <w:tcW w:type="dxa" w:w="2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Prepared Statements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DDoS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Überlastung durch Massenanfragen</w:t>
            </w:r>
          </w:p>
        </w:tc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2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Firewall, Rate-Limiting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Brute Force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Automatisiertes Durchprobieren von Passwörtern</w:t>
            </w:r>
          </w:p>
        </w:tc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2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Account-Lockout, MFA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Zero-Day-Exploit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Ausnutzen unbekannter Sicherheitslücken</w:t>
            </w:r>
          </w:p>
        </w:tc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drei</w:t>
            </w:r>
          </w:p>
        </w:tc>
        <w:tc>
          <w:tcPr>
            <w:tcW w:type="dxa" w:w="2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Segmentierung, IDS/IPS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Angriffsvektoren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Ein Angriffsvektor ist der Weg, über den ein Angreifer in ein System eindringt.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400"/>
        <w:gridCol w:w="1600"/>
        <w:gridCol w:w="2906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Vektor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Risiko</w:t>
            </w:r>
          </w:p>
        </w:tc>
        <w:tc>
          <w:tcPr>
            <w:tcW w:type="dxa" w:w="2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Gegenmaßnahme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E-Mail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Schadanhänge, Phishing-Links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E-Mail-Filter, Schulung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 / Browser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Drive-by-Download, manipulierte Seiten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Proxy, Browser-Schutz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WLAN / Netzwerk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Mitlesen, unsichere Verbindungen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VLAN-Trennung, WPA3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Software-Lücken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Ungepatchte Systeme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Patch-Management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Social Engineering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Mensch als schwächstes Glied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Awareness-Training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USB / Wechselmedien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Direktes Einspielen von Schadsoftware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</w:t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USB-Ports sperren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VPN / Fernzugriff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Kompromittierte Heimnetzwerke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</w:t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MFA, Endgeräteprüfung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Lieferkette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Manipulierte Updates von Dienstleistern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</w:t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Signaturprüfung, SBOM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Physischer Zugang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Unbefugter Zutritt zum Serverraum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Mittel-Hoch</w:t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Zutrittskontrolle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Mobilgeräte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Verlust oder Diebstahl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</w:t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Verschlüsselung, MDM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Schutzziele der IT-Sicherheit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5.1  CIA-Triade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600"/>
        <w:gridCol w:w="2600"/>
        <w:gridCol w:w="1900"/>
        <w:gridCol w:w="2006"/>
      </w:tblGrid>
      <w:tr>
        <w:trPr>
          <w:tblHeader/>
        </w:trP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Englisch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Verletzt wenn</w:t>
            </w:r>
          </w:p>
        </w:tc>
        <w:tc>
          <w:tcPr>
            <w:tcW w:type="dxa" w:w="20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MedZentrum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Confidentiality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Nur Berechtigte haben Zugriff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Unbefugter liest mit</w:t>
            </w:r>
          </w:p>
        </w:tc>
        <w:tc>
          <w:tcPr>
            <w:tcW w:type="dxa" w:w="2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Fremder Arzt sieht Akte ein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Integrity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 sind korrekt und unverändert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 manipuliert</w:t>
            </w:r>
          </w:p>
        </w:tc>
        <w:tc>
          <w:tcPr>
            <w:tcW w:type="dxa" w:w="2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Laborwert verfälscht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Availability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Systeme sind bei Bedarf nutzbar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System fällt aus</w:t>
            </w:r>
          </w:p>
        </w:tc>
        <w:tc>
          <w:tcPr>
            <w:tcW w:type="dxa" w:w="2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PVS nach Ransomware down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5.2  Erweiterte Schutzziele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200"/>
        <w:gridCol w:w="3306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Ziel</w:t>
            </w:r>
          </w:p>
        </w:tc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3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Authentizität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Echtheit von Daten und Identitäten ist nachweisbar</w:t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Digitale Signatur auf dem Arztbericht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Nicht-Abstreitbarkeit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Handlungen können nicht geleugnet werden</w:t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Audit-Log dokumentiert jeden Zugriff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Zurechenbarkeit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Handlungen sind einer Person zuzuordnen</w:t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Individueller Login statt Sammelkonto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Resilienz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System übersteht Störungen und erholt sich</w:t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Automatischer Failover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Merkhilfe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 – Confidentiality  →  Vertraulichkeit  →  Wer darf sehen?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 – Integrity        →  Integrität       →  Wurde etwas verändert?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 – Availability     →  Verfügbarkeit    →  Ist es erreichbar?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  Rechtliche Grundlagen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6.1  Gesetzeskatalog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900"/>
        <w:gridCol w:w="3906"/>
      </w:tblGrid>
      <w:tr>
        <w:trPr>
          <w:tblHeader/>
        </w:trP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Norm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</w:t>
            </w:r>
          </w:p>
        </w:tc>
        <w:tc>
          <w:tcPr>
            <w:tcW w:type="dxa" w:w="3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Relevanz MedZentrum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DSGVO</w:t>
            </w:r>
          </w:p>
        </w:tc>
        <w:tc>
          <w:tcPr>
            <w:tcW w:type="dxa" w:w="3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EU-Datenschutz-Grundverordnung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Art. 9: Gesundheitsdaten sind besondere Kategorie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BDSG</w:t>
            </w:r>
          </w:p>
        </w:tc>
        <w:tc>
          <w:tcPr>
            <w:tcW w:type="dxa" w:w="3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Bundesdatenschutzgesetz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DSB-Pflicht ab 20 Personen mit Datenzugriff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BSI-Gesetz</w:t>
            </w:r>
          </w:p>
        </w:tc>
        <w:tc>
          <w:tcPr>
            <w:tcW w:type="dxa" w:w="3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IT-Sicherheit, KRITIS-Regelungen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Gesundheitswesen kann kritische Infrastruktur sein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SGB V § 75a</w:t>
            </w:r>
          </w:p>
        </w:tc>
        <w:tc>
          <w:tcPr>
            <w:tcW w:type="dxa" w:w="3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IT-Sicherheit vertragsärztlicher Einrichtungen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KBV-Richtlinie je nach Praxisgröße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ISO/IEC 27001</w:t>
            </w:r>
          </w:p>
        </w:tc>
        <w:tc>
          <w:tcPr>
            <w:tcW w:type="dxa" w:w="3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 für Informationssicherheits-Management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Zertifizierungsgrundlage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IT-Grundschutz</w:t>
            </w:r>
          </w:p>
        </w:tc>
        <w:tc>
          <w:tcPr>
            <w:tcW w:type="dxa" w:w="3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BSI-Methodik für den Aufbau eines ISMS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Grundlage der Schutzbedarfsanalyse (200-2)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NIS2-Richtlinie</w:t>
            </w:r>
          </w:p>
        </w:tc>
        <w:tc>
          <w:tcPr>
            <w:tcW w:type="dxa" w:w="3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EU-Richtlinie zur Netz- und Informationssicherheit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Erweiterte Melde- und Sicherheitspflichten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StGB §§ 202a–303b</w:t>
            </w:r>
          </w:p>
        </w:tc>
        <w:tc>
          <w:tcPr>
            <w:tcW w:type="dxa" w:w="3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Ausspähen, Datenveränderung, Computersabotage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Strafbarkeit bei Datendelikten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TTDSG</w:t>
            </w:r>
          </w:p>
        </w:tc>
        <w:tc>
          <w:tcPr>
            <w:tcW w:type="dxa" w:w="3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Datenschutz elektronischer Kommunikation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E-Mail, Telefonie, Online-Terminbuchung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6.2  Pflichten bei Datenpannen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Meldung an die Aufsichtsbehörde innerhalb von 72 Stunden (Art. 33 DSGVO)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Benachrichtigung der Betroffenen bei hohem Risiko für deren Rechte (Art. 34 DSGVO)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Interne Dokumentation jeder Datenpanne, auch wenn keine Meldepflicht besteht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Nach NIS2 zusätzlich: Erstmeldung binnen 24 Stunden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6.3  Betroffenenrechte (Art. 12–22 DSGVO)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Jede Person, deren Daten verarbeitet werden, hat gegenüber der verantwortlichen Stelle folgende Rechte: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300"/>
        <w:gridCol w:w="4900"/>
        <w:gridCol w:w="1406"/>
      </w:tblGrid>
      <w:tr>
        <w:trPr>
          <w:tblHeader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Recht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Artikel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Inhalt</w:t>
            </w:r>
          </w:p>
        </w:tc>
        <w:tc>
          <w:tcPr>
            <w:tcW w:type="dxa" w:w="14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Frist</w:t>
            </w:r>
          </w:p>
        </w:tc>
      </w:tr>
      <w:t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Auskunft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Art. 15</w:t>
            </w:r>
          </w:p>
        </w:tc>
        <w:tc>
          <w:tcPr>
            <w:tcW w:type="dxa" w:w="4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Welche Daten, zu welchem Zweck, wie lange, an wen weitergegeben</w:t>
            </w:r>
          </w:p>
        </w:tc>
        <w:tc>
          <w:tcPr>
            <w:tcW w:type="dxa" w:w="1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 Monat</w:t>
            </w:r>
          </w:p>
        </w:tc>
      </w:tr>
      <w:t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Berichtigung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Art. 16</w:t>
            </w:r>
          </w:p>
        </w:tc>
        <w:tc>
          <w:tcPr>
            <w:tcW w:type="dxa" w:w="4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Falsche oder unvollständige Daten korrigieren lassen</w:t>
            </w:r>
          </w:p>
        </w:tc>
        <w:tc>
          <w:tcPr>
            <w:tcW w:type="dxa" w:w="1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Unverzüglich</w:t>
            </w:r>
          </w:p>
        </w:tc>
      </w:tr>
      <w:t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Löschung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Art. 17</w:t>
            </w:r>
          </w:p>
        </w:tc>
        <w:tc>
          <w:tcPr>
            <w:tcW w:type="dxa" w:w="4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Löschung, wenn Zweck entfallen oder Einwilligung widerrufen</w:t>
            </w:r>
          </w:p>
        </w:tc>
        <w:tc>
          <w:tcPr>
            <w:tcW w:type="dxa" w:w="1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Unverzüglich</w:t>
            </w:r>
          </w:p>
        </w:tc>
      </w:tr>
      <w:t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Einschränkung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Art. 18</w:t>
            </w:r>
          </w:p>
        </w:tc>
        <w:tc>
          <w:tcPr>
            <w:tcW w:type="dxa" w:w="4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Verarbeitung einfrieren, solange eine Prüfung läuft</w:t>
            </w:r>
          </w:p>
        </w:tc>
        <w:tc>
          <w:tcPr>
            <w:tcW w:type="dxa" w:w="1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Während Prüfung</w:t>
            </w:r>
          </w:p>
        </w:tc>
      </w:tr>
      <w:t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Datenübertragbarkeit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Art. 20</w:t>
            </w:r>
          </w:p>
        </w:tc>
        <w:tc>
          <w:tcPr>
            <w:tcW w:type="dxa" w:w="4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 maschinenlesbar erhalten und übertragen lassen</w:t>
            </w:r>
          </w:p>
        </w:tc>
        <w:tc>
          <w:tcPr>
            <w:tcW w:type="dxa" w:w="1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 Monat</w:t>
            </w:r>
          </w:p>
        </w:tc>
      </w:tr>
      <w:t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Widerspruch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Art. 21</w:t>
            </w:r>
          </w:p>
        </w:tc>
        <w:tc>
          <w:tcPr>
            <w:tcW w:type="dxa" w:w="4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Verarbeitung widersprechen</w:t>
            </w:r>
          </w:p>
        </w:tc>
        <w:tc>
          <w:tcPr>
            <w:tcW w:type="dxa" w:w="1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Sofort</w:t>
            </w:r>
          </w:p>
        </w:tc>
      </w:tr>
      <w:t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Widerruf der Einwilligung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Art. 7 Abs. 3</w:t>
            </w:r>
          </w:p>
        </w:tc>
        <w:tc>
          <w:tcPr>
            <w:tcW w:type="dxa" w:w="4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Einwilligung jederzeit ohne Nachteile zurückziehen</w:t>
            </w:r>
          </w:p>
        </w:tc>
        <w:tc>
          <w:tcPr>
            <w:tcW w:type="dxa" w:w="1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Sofort</w:t>
            </w:r>
          </w:p>
        </w:tc>
      </w:tr>
      <w:t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Keine automat. Entscheidung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Art. 22</w:t>
            </w:r>
          </w:p>
        </w:tc>
        <w:tc>
          <w:tcPr>
            <w:tcW w:type="dxa" w:w="4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Keine allein automatisierte Entscheidung mit rechtlicher Wirkung</w:t>
            </w:r>
          </w:p>
        </w:tc>
        <w:tc>
          <w:tcPr>
            <w:tcW w:type="dxa" w:w="14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Pflichten der verantwortlichen Stelle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Anfragen sind kostenlos und binnen eines Monats zu beantworten (Art. 12 DSGVO).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Bei komplexen Anfragen ist eine Verlängerung auf drei Monate möglich – die betroffene Person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muss darüber innerhalb des ersten Monats informiert werden.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Bei Ablehnung: schriftliche Begründung und Hinweis auf das Beschwerderecht (Art. 77 DSGVO).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Gesetzliche Aufbewahrungspflichten gehen dem Löschanspruch vor – Patientenakten müssen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nach § 10 MBO-Ä zehn Jahre aufbewahrt werden.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CE4E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Bußgelder nach Art. 83 DSGVO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Gruppe 1: bis 10 Mio. Euro oder 2 Prozent des weltweiten Jahresumsatzes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Gruppe 2: bis 20 Mio. Euro oder 4 Prozent des weltweiten Jahresumsatzes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Beispiel: Weitergabe von Patientendaten ohne Rechtsgrundlage fällt unter Gruppe 2.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7  Schutzmaßnahmen (TOM nach Art. 32 DSGVO)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7.1  Technische Maßnahmen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300"/>
        <w:gridCol w:w="2000"/>
        <w:gridCol w:w="2506"/>
      </w:tblGrid>
      <w:tr>
        <w:trPr>
          <w:tblHeader/>
        </w:trP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2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MedZentrum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Verschlüsselung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AES-256 im Ruhezustand, TLS 1.3 bei Übertragung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2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Verschlüsselte Arzttablets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Firewall / NGFW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Regelbasierte Kontrolle des Netzverkehrs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Verfüg., Vertraul.</w:t>
            </w:r>
          </w:p>
        </w:tc>
        <w:tc>
          <w:tcPr>
            <w:tcW w:type="dxa" w:w="2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Trennt Patienten-WLAN vom PVS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IDS / IPS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Erkennung und Abwehr von Angriffen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drei</w:t>
            </w:r>
          </w:p>
        </w:tc>
        <w:tc>
          <w:tcPr>
            <w:tcW w:type="dxa" w:w="2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Alarm bei nächtlichen Zugriffen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Backup (3-2-1)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 Kopien, 2 Medien, 1 offline oder extern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2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NAS täglich, Band wöchentlich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Zugriffskontrolle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Rollenbasierte Rechtevergabe (RBAC)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2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Nur eigene Patienten sichtbar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MFA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Zweiter Faktor beim Login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2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VPN-Zugang für Homeoffice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Patch-Management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Regelmäßige Aktualisierung aller Systeme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drei</w:t>
            </w:r>
          </w:p>
        </w:tc>
        <w:tc>
          <w:tcPr>
            <w:tcW w:type="dxa" w:w="2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Updates außerhalb der Sprechzeiten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Netzsegmentierung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Trennung in VLANs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Vertraul., Verfüg.</w:t>
            </w:r>
          </w:p>
        </w:tc>
        <w:tc>
          <w:tcPr>
            <w:tcW w:type="dxa" w:w="2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Labor, Praxis, Gast getrennt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Antivirus / EDR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Erkennung von Schadsoftware am Endpunkt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drei</w:t>
            </w:r>
          </w:p>
        </w:tc>
        <w:tc>
          <w:tcPr>
            <w:tcW w:type="dxa" w:w="2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EDR auf allen Arbeitsplätzen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Datensparsamkeit</w:t>
            </w:r>
          </w:p>
        </w:tc>
        <w:tc>
          <w:tcPr>
            <w:tcW w:type="dxa" w:w="3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Nur notwendige Daten erheben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2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Terminbuchung ohne Geburtsdatum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7.2  Organisatorische Maßnahmen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4000"/>
        <w:gridCol w:w="3806"/>
      </w:tblGrid>
      <w:tr>
        <w:trPr>
          <w:tblHeader/>
        </w:trP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dxa" w:w="4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38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MedZentrum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IT-Richtlinien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Passwortpolitik, Clean-Desk, Nutzungsregeln</w:t>
            </w:r>
          </w:p>
        </w:tc>
        <w:tc>
          <w:tcPr>
            <w:tcW w:type="dxa" w:w="3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Verbindliche Sicherheitsrichtlinie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Awareness-Schulung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Regelmäßige Trainings zu Phishing und Manipulation</w:t>
            </w:r>
          </w:p>
        </w:tc>
        <w:tc>
          <w:tcPr>
            <w:tcW w:type="dxa" w:w="3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Jährliche Pflichtschulung plus Tests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Datenschutzbeauftragter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Überwachung der DSGVO-Konformität</w:t>
            </w:r>
          </w:p>
        </w:tc>
        <w:tc>
          <w:tcPr>
            <w:tcW w:type="dxa" w:w="3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Externer DSB bestellt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Zutrittskontrolle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Physischer Schutz sensibler Bereiche</w:t>
            </w:r>
          </w:p>
        </w:tc>
        <w:tc>
          <w:tcPr>
            <w:tcW w:type="dxa" w:w="3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Serverraum nur mit Chipkarte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Incident-Response-Plan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Vorgehen im Sicherheitsvorfall</w:t>
            </w:r>
          </w:p>
        </w:tc>
        <w:tc>
          <w:tcPr>
            <w:tcW w:type="dxa" w:w="3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Kontaktliste und Ablaufplan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Logging und Audit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Protokollierung sicherheitsrelevanter Ereignisse</w:t>
            </w:r>
          </w:p>
        </w:tc>
        <w:tc>
          <w:tcPr>
            <w:tcW w:type="dxa" w:w="3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Jeder Datenbankzugriff protokolliert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Löschkonzept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Fristen und Verfahren zur Datenlöschung</w:t>
            </w:r>
          </w:p>
        </w:tc>
        <w:tc>
          <w:tcPr>
            <w:tcW w:type="dxa" w:w="3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Akten nach 10 Jahren löschen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AVV nach Art. 28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Vertrag mit jedem Auftragsverarbeiter</w:t>
            </w:r>
          </w:p>
        </w:tc>
        <w:tc>
          <w:tcPr>
            <w:tcW w:type="dxa" w:w="3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Vereinbarung mit Cloud-Anbieter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BCM / Notfallhandbuch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Aufrechterhaltung des Betriebs bei Ausfall</w:t>
            </w:r>
          </w:p>
        </w:tc>
        <w:tc>
          <w:tcPr>
            <w:tcW w:type="dxa" w:w="3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Papierformulare als Rückfallebene</w:t>
            </w:r>
          </w:p>
        </w:tc>
      </w:tr>
      <w:t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Change-Management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Kontrollierte Einführung von Änderungen</w:t>
            </w:r>
          </w:p>
        </w:tc>
        <w:tc>
          <w:tcPr>
            <w:tcW w:type="dxa" w:w="38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Testlauf vor Produktivsetzung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3-2-1-Backup-Regel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 Kopien der Daten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 verschiedene Speichermedien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 Kopie außerhalb des Standorts oder offline – offline heißt: für Ransomware nicht erreichbar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8  Schutzbedarfsanalyse nach BSI-Standard 200-2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8.1  Vorgehensmodell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200"/>
        <w:gridCol w:w="3106"/>
      </w:tblGrid>
      <w:tr>
        <w:trPr>
          <w:tblHeader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Tätigkeit</w:t>
            </w:r>
          </w:p>
        </w:tc>
        <w:tc>
          <w:tcPr>
            <w:tcW w:type="dxa" w:w="31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Ergebnis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  Strukturanalyse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Systeme, Anwendungen und Daten erfassen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IT-Inventarliste, Netzplan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  Schutzbedarfsfeststellung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Je Asset C, I und A bewerten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Schutzbedarfstabelle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  Modellierung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Grundschutz-Bausteine zuordnen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Sicherheitsmodell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  Risikoanalyse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Bedrohung, Eintrittswahrscheinlichkeit und Schaden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Priorisierte Risikoliste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5  Maßnahmenplanung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TOM auswählen, Verantwortliche und Fristen festlegen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Maßnahmenplan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6  Umsetzung und Prüfung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Maßnahmen einführen und regelmäßig auditieren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Audit-Berichte, ISMS-Doku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8.2  Schutzbedarfskategorien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600"/>
        <w:gridCol w:w="2500"/>
        <w:gridCol w:w="3006"/>
      </w:tblGrid>
      <w:tr>
        <w:trPr>
          <w:tblHeader/>
        </w:trP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Wann?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Schadensausmaß</w:t>
            </w:r>
          </w:p>
        </w:tc>
        <w:tc>
          <w:tcPr>
            <w:tcW w:type="dxa" w:w="30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 MedZentrum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Grundschutz reicht aus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Begrenzt und überschaubar</w:t>
            </w:r>
          </w:p>
        </w:tc>
        <w:tc>
          <w:tcPr>
            <w:tcW w:type="dxa" w:w="3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Internes Telefonverzeichnis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Deutlich erhöhter Schutzbedarf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Erheblich</w:t>
            </w:r>
          </w:p>
        </w:tc>
        <w:tc>
          <w:tcPr>
            <w:tcW w:type="dxa" w:w="3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Patientenstammdaten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Außergewöhnlich hoher Bedarf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Existenzbedrohend</w:t>
            </w:r>
          </w:p>
        </w:tc>
        <w:tc>
          <w:tcPr>
            <w:tcW w:type="dxa" w:w="3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Psychiatrische Diagnosen, HIV-Status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Maximumprinzip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Gesamtschutzbedarf = Maximum aus Vertraulichkeit, Integrität und Verfügbarkeit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Beispiel Terminkalender: Vertraulichkeit normal, Integrität hoch, Verfügbarkeit hoch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→ Gesamtschutzbedarf: hoch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 Durchschnitt! Das schwächste Schutzziel darf das Gesamtniveau nicht absenken.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8.3  Beispieltabelle MedZentrum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800"/>
        <w:gridCol w:w="1800"/>
        <w:gridCol w:w="1700"/>
        <w:gridCol w:w="1606"/>
      </w:tblGrid>
      <w:tr>
        <w:trPr>
          <w:tblHeader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Asset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Vertraul.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Verfügb.</w:t>
            </w:r>
          </w:p>
        </w:tc>
        <w:tc>
          <w:tcPr>
            <w:tcW w:type="dxa" w:w="16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Gesamt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Patientenakten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Laborbefunde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Praxisverwaltungssystem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Abrechnungsdaten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Backup-System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Netzwerk-Infrastruktur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1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E-Mail-System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Terminkalender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Mitarbeiterdaten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Website (Praxisinfos)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  <w:tc>
          <w:tcPr>
            <w:tcW w:type="dxa" w:w="1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8.4  Risikobewertung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Risiko ergibt sich aus Eintrittswahrscheinlichkeit und Schadenshöhe.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500"/>
        <w:gridCol w:w="1500"/>
        <w:gridCol w:w="1400"/>
        <w:gridCol w:w="2306"/>
      </w:tblGrid>
      <w:tr>
        <w:trPr>
          <w:tblHeader/>
        </w:trP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Szenario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Eintritt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Schaden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Risiko</w:t>
            </w:r>
          </w:p>
        </w:tc>
        <w:tc>
          <w:tcPr>
            <w:tcW w:type="dxa" w:w="2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Maßnahme</w:t>
            </w:r>
          </w:p>
        </w:tc>
      </w:tr>
      <w:tr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Phishing führt zu Ransomware im PVS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Existenziell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Kritisch</w:t>
            </w:r>
          </w:p>
        </w:tc>
        <w:tc>
          <w:tcPr>
            <w:tcW w:type="dxa" w:w="2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EDR, Offline-Backup, Schulung</w:t>
            </w:r>
          </w:p>
        </w:tc>
      </w:tr>
      <w:tr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Verlust eines Arzttablets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Erheblich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  <w:tc>
          <w:tcPr>
            <w:tcW w:type="dxa" w:w="2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Verschlüsselung, MDM, Remote-Wipe</w:t>
            </w:r>
          </w:p>
        </w:tc>
      </w:tr>
      <w:tr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Unbefugter Zutritt zum Serverraum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Niedrig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Erheblich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</w:t>
            </w:r>
          </w:p>
        </w:tc>
        <w:tc>
          <w:tcPr>
            <w:tcW w:type="dxa" w:w="2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Elektronisches Schloss, Kamera</w:t>
            </w:r>
          </w:p>
        </w:tc>
      </w:tr>
      <w:tr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Ausfall der Internetverbindung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Gering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</w:t>
            </w:r>
          </w:p>
        </w:tc>
        <w:tc>
          <w:tcPr>
            <w:tcW w:type="dxa" w:w="2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LTE-Backup-Router</w:t>
            </w:r>
          </w:p>
        </w:tc>
      </w:tr>
      <w:tr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Feuer im Serverraum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niedrig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Existenziell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Mittel</w:t>
            </w:r>
          </w:p>
        </w:tc>
        <w:tc>
          <w:tcPr>
            <w:tcW w:type="dxa" w:w="2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Brandmeldeanlage, externes Backup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color w:val="595959"/>
        <w:sz w:val="17"/>
        <w:szCs w:val="17"/>
      </w:rPr>
      <w:t xml:space="preserve">bfw – Unternehmen für Bildung  ·  Standort Lübeck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b/>
        <w:bCs/>
        <w:color w:val="003366"/>
        <w:sz w:val="17"/>
        <w:szCs w:val="17"/>
      </w:rPr>
      <w:t xml:space="preserve">Handout – Schutzbedarfsanalyse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LF 4 / Modul D  ·  MedZentrum Lübeck GmbH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4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4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60" w:before="1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2026-08-17T05:04:21.482Z</dcterms:created>
  <dcterms:modified xsi:type="dcterms:W3CDTF">2026-08-17T05:04:21.496Z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