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Calibri" w:cs="Calibri" w:eastAsia="Calibri" w:hAnsi="Calibri"/>
          <w:color w:val="595959"/>
          <w:sz w:val="18"/>
          <w:szCs w:val="18"/>
        </w:rPr>
        <w:t xml:space="preserve">bfw – Unternehmen für Bildung  ·  Standort Lübeck  ·  FIAE &amp; FISI</w:t>
      </w:r>
    </w:p>
    <w:p>
      <w:pPr>
        <w:pBdr>
          <w:bottom w:val="single" w:color="0066AA" w:sz="8" w:space="5"/>
        </w:pBdr>
        <w:spacing w:after="60" w:before="0"/>
        <w:jc w:val="center"/>
      </w:pPr>
      <w:r>
        <w:rPr>
          <w:rFonts w:ascii="Calibri" w:cs="Calibri" w:eastAsia="Calibri" w:hAnsi="Calibri"/>
          <w:b/>
          <w:bCs/>
          <w:color w:val="003366"/>
          <w:sz w:val="30"/>
          <w:szCs w:val="30"/>
        </w:rPr>
        <w:t xml:space="preserve">Verlaufsplanung Lernfeld 4</w:t>
      </w:r>
    </w:p>
    <w:p>
      <w:pPr>
        <w:spacing w:after="60" w:before="40"/>
        <w:jc w:val="center"/>
      </w:pPr>
      <w:r>
        <w:rPr>
          <w:rFonts w:ascii="Calibri" w:cs="Calibri" w:eastAsia="Calibri" w:hAnsi="Calibri"/>
          <w:color w:val="0066AA"/>
          <w:sz w:val="20"/>
          <w:szCs w:val="20"/>
        </w:rPr>
        <w:t xml:space="preserve">Schutzbedarfsanalyse im eigenen Arbeitsbereich durchführen</w:t>
      </w:r>
    </w:p>
    <w:p>
      <w:pPr>
        <w:spacing w:after="80" w:before="0"/>
      </w:pPr>
      <w:r>
        <w:t xml:space="preserve"/>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3000"/>
        <w:gridCol w:w="11838"/>
      </w:tblGrid>
      <w:tr>
        <w:trPr>
          <w:tblHeader/>
        </w:trPr>
        <w:tc>
          <w:tcPr>
            <w:tcW w:type="dxa" w:w="3000"/>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Eckdaten</w:t>
            </w:r>
          </w:p>
        </w:tc>
        <w:tc>
          <w:tcPr>
            <w:tcW w:type="dxa" w:w="11838"/>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Angabe</w:t>
            </w:r>
          </w:p>
        </w:tc>
      </w:tr>
      <w:tr>
        <w:tc>
          <w:tcPr>
            <w:tcW w:type="dxa" w:w="30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Lernfeld</w:t>
            </w:r>
          </w:p>
        </w:tc>
        <w:tc>
          <w:tcPr>
            <w:tcW w:type="dxa" w:w="118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LF 4 / Modul D</w:t>
            </w:r>
          </w:p>
        </w:tc>
      </w:tr>
      <w:tr>
        <w:tc>
          <w:tcPr>
            <w:tcW w:type="dxa" w:w="30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Zielgruppe</w:t>
            </w:r>
          </w:p>
        </w:tc>
        <w:tc>
          <w:tcPr>
            <w:tcW w:type="dxa" w:w="11838"/>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Umschülerinnen und Umschüler FIAE und FISI, gemeinsam</w:t>
            </w:r>
          </w:p>
        </w:tc>
      </w:tr>
      <w:tr>
        <w:tc>
          <w:tcPr>
            <w:tcW w:type="dxa" w:w="30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Umfang</w:t>
            </w:r>
          </w:p>
        </w:tc>
        <w:tc>
          <w:tcPr>
            <w:tcW w:type="dxa" w:w="118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72 Unterrichtseinheiten (9 Tage à 8 UE)</w:t>
            </w:r>
          </w:p>
        </w:tc>
      </w:tr>
      <w:tr>
        <w:tc>
          <w:tcPr>
            <w:tcW w:type="dxa" w:w="30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Durchgehendes Szenario</w:t>
            </w:r>
          </w:p>
        </w:tc>
        <w:tc>
          <w:tcPr>
            <w:tcW w:type="dxa" w:w="11838"/>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MedZentrum Lübeck GmbH</w:t>
            </w:r>
          </w:p>
        </w:tc>
      </w:tr>
      <w:tr>
        <w:tc>
          <w:tcPr>
            <w:tcW w:type="dxa" w:w="30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Leistungsnachweise</w:t>
            </w:r>
          </w:p>
        </w:tc>
        <w:tc>
          <w:tcPr>
            <w:tcW w:type="dxa" w:w="118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Gruppenarbeit (100 Punkte) und Lernzielkontrolle (100 Punkte)</w:t>
            </w:r>
          </w:p>
        </w:tc>
      </w:tr>
      <w:tr>
        <w:tc>
          <w:tcPr>
            <w:tcW w:type="dxa" w:w="30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Prüfungsrelevanz</w:t>
            </w:r>
          </w:p>
        </w:tc>
        <w:tc>
          <w:tcPr>
            <w:tcW w:type="dxa" w:w="11838"/>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AP1 und AP2, Teil Wirtschafts- und Sozialkunde sowie Fachqualifikationen</w:t>
            </w:r>
          </w:p>
        </w:tc>
      </w:tr>
    </w:tbl>
    <w:p>
      <w:pPr>
        <w:spacing w:after="80" w:before="0"/>
      </w:pPr>
      <w:r>
        <w:t xml:space="preserve"/>
      </w:r>
    </w:p>
    <w:p>
      <w:pPr>
        <w:pStyle w:val="Heading1"/>
        <w:pBdr>
          <w:bottom w:val="single" w:color="0066AA" w:sz="6" w:space="4"/>
        </w:pBdr>
        <w:spacing w:after="80" w:before="260"/>
      </w:pPr>
      <w:r>
        <w:rPr>
          <w:rFonts w:ascii="Calibri" w:cs="Calibri" w:eastAsia="Calibri" w:hAnsi="Calibri"/>
          <w:b/>
          <w:bCs/>
          <w:color w:val="003366"/>
          <w:sz w:val="26"/>
          <w:szCs w:val="26"/>
        </w:rPr>
        <w:t xml:space="preserve">Kompetenzorientierte Zielformulierung</w:t>
      </w:r>
    </w:p>
    <w:p>
      <w:pPr>
        <w:spacing w:after="40" w:before="40"/>
      </w:pPr>
      <w:r>
        <w:rPr>
          <w:rFonts w:ascii="Calibri" w:cs="Calibri" w:eastAsia="Calibri" w:hAnsi="Calibri"/>
          <w:color w:val="595959"/>
          <w:sz w:val="19"/>
          <w:szCs w:val="19"/>
        </w:rPr>
        <w:t xml:space="preserve">Die Teilnehmenden können für einen konkreten Arbeitsbereich eine Schutzbedarfsanalyse nach BSI-Standard 200-2 durchführen. Sie erfassen die relevanten Assets, identifizieren Bedrohungen und Angriffsvektoren, bewerten den Schutzbedarf hinsichtlich Vertraulichkeit, Integrität und Verfügbarkeit und leiten daraus technische und organisatorische Schutzmaßnahmen ab. Dabei berücksichtigen sie die geltenden rechtlichen Vorgaben, insbesondere die Datenschutz-Grundverordnung.</w:t>
      </w:r>
    </w:p>
    <w:p>
      <w:pPr>
        <w:spacing w:after="80" w:before="0"/>
      </w:pPr>
      <w:r>
        <w:t xml:space="preserve"/>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14838"/>
      </w:tblGrid>
      <w:tr>
        <w:tc>
          <w:tcPr>
            <w:tcW w:type="dxa" w:w="14838"/>
            <w:tcBorders>
              <w:top w:val="single" w:color="0066AA" w:sz="4"/>
              <w:left w:val="single" w:color="0066AA" w:sz="4"/>
              <w:bottom w:val="single" w:color="0066AA" w:sz="4"/>
              <w:right w:val="single" w:color="0066AA" w:sz="4"/>
            </w:tcBorders>
            <w:shd w:fill="FFF4DC" w:val="clear"/>
            <w:tcMar>
              <w:top w:type="dxa" w:w="80"/>
              <w:left w:type="dxa" w:w="140"/>
              <w:bottom w:type="dxa" w:w="80"/>
              <w:right w:type="dxa" w:w="140"/>
            </w:tcMar>
          </w:tcPr>
          <w:p>
            <w:pPr>
              <w:spacing w:after="40" w:before="30"/>
            </w:pPr>
            <w:r>
              <w:rPr>
                <w:rFonts w:ascii="Calibri" w:cs="Calibri" w:eastAsia="Calibri" w:hAnsi="Calibri"/>
                <w:b/>
                <w:bCs/>
                <w:color w:val="003366"/>
                <w:sz w:val="20"/>
                <w:szCs w:val="20"/>
              </w:rPr>
              <w:t xml:space="preserve">Verhältnis zum KMK-Rahmenlehrplan</w:t>
            </w:r>
          </w:p>
          <w:p>
            <w:pPr>
              <w:spacing w:after="24" w:before="24"/>
            </w:pPr>
            <w:r>
              <w:rPr>
                <w:rFonts w:ascii="Calibri" w:cs="Calibri" w:eastAsia="Calibri" w:hAnsi="Calibri"/>
                <w:color w:val="595959"/>
                <w:sz w:val="18"/>
                <w:szCs w:val="18"/>
              </w:rPr>
              <w:t xml:space="preserve">Der KMK-Rahmenlehrplan vom 13.12.2019 setzt für Lernfeld 4 einen Zeitrichtwert von 40 Stunden an.</w:t>
            </w:r>
          </w:p>
          <w:p>
            <w:pPr>
              <w:spacing w:after="24" w:before="24"/>
            </w:pPr>
            <w:r>
              <w:rPr>
                <w:rFonts w:ascii="Calibri" w:cs="Calibri" w:eastAsia="Calibri" w:hAnsi="Calibri"/>
                <w:color w:val="595959"/>
                <w:sz w:val="18"/>
                <w:szCs w:val="18"/>
              </w:rPr>
              <w:t xml:space="preserve">Diese Planung umfasst 72 Unterrichtseinheiten und liegt damit bewusst darüber.</w:t>
            </w:r>
          </w:p>
          <w:p>
            <w:pPr>
              <w:spacing w:after="24" w:before="24"/>
            </w:pPr>
            <w:r>
              <w:rPr>
                <w:rFonts w:ascii="Calibri" w:cs="Calibri" w:eastAsia="Calibri" w:hAnsi="Calibri"/>
                <w:color w:val="595959"/>
                <w:sz w:val="18"/>
                <w:szCs w:val="18"/>
              </w:rPr>
              <w:t xml:space="preserve"/>
            </w:r>
          </w:p>
          <w:p>
            <w:pPr>
              <w:spacing w:after="24" w:before="24"/>
            </w:pPr>
            <w:r>
              <w:rPr>
                <w:rFonts w:ascii="Calibri" w:cs="Calibri" w:eastAsia="Calibri" w:hAnsi="Calibri"/>
                <w:color w:val="595959"/>
                <w:sz w:val="18"/>
                <w:szCs w:val="18"/>
              </w:rPr>
              <w:t xml:space="preserve">Begründung: In der Umschulung fehlt der betriebliche Lernort. Inhalte, die dual über die</w:t>
            </w:r>
          </w:p>
          <w:p>
            <w:pPr>
              <w:spacing w:after="24" w:before="24"/>
            </w:pPr>
            <w:r>
              <w:rPr>
                <w:rFonts w:ascii="Calibri" w:cs="Calibri" w:eastAsia="Calibri" w:hAnsi="Calibri"/>
                <w:color w:val="595959"/>
                <w:sz w:val="18"/>
                <w:szCs w:val="18"/>
              </w:rPr>
              <w:t xml:space="preserve">Ausbildungsbetriebe abgedeckt werden, müssen hier im Unterricht erarbeitet werden.</w:t>
            </w:r>
          </w:p>
          <w:p>
            <w:pPr>
              <w:spacing w:after="24" w:before="24"/>
            </w:pPr>
            <w:r>
              <w:rPr>
                <w:rFonts w:ascii="Calibri" w:cs="Calibri" w:eastAsia="Calibri" w:hAnsi="Calibri"/>
                <w:color w:val="595959"/>
                <w:sz w:val="18"/>
                <w:szCs w:val="18"/>
              </w:rPr>
              <w:t xml:space="preserve">Zusätzlich sind die Tage 4 und 5 (Netzwerkschutz sowie aktuelle Entwicklungen) inhaltlich</w:t>
            </w:r>
          </w:p>
          <w:p>
            <w:pPr>
              <w:spacing w:after="24" w:before="24"/>
            </w:pPr>
            <w:r>
              <w:rPr>
                <w:rFonts w:ascii="Calibri" w:cs="Calibri" w:eastAsia="Calibri" w:hAnsi="Calibri"/>
                <w:color w:val="595959"/>
                <w:sz w:val="18"/>
                <w:szCs w:val="18"/>
              </w:rPr>
              <w:t xml:space="preserve">ein Vorgriff auf Lernfeld 9 und Lernfeld 11b.</w:t>
            </w:r>
          </w:p>
          <w:p>
            <w:pPr>
              <w:spacing w:after="24" w:before="24"/>
            </w:pPr>
            <w:r>
              <w:rPr>
                <w:rFonts w:ascii="Calibri" w:cs="Calibri" w:eastAsia="Calibri" w:hAnsi="Calibri"/>
                <w:color w:val="595959"/>
                <w:sz w:val="18"/>
                <w:szCs w:val="18"/>
              </w:rPr>
              <w:t xml:space="preserve"/>
            </w:r>
          </w:p>
          <w:p>
            <w:pPr>
              <w:spacing w:after="24" w:before="24"/>
            </w:pPr>
            <w:r>
              <w:rPr>
                <w:rFonts w:ascii="Calibri" w:cs="Calibri" w:eastAsia="Calibri" w:hAnsi="Calibri"/>
                <w:color w:val="595959"/>
                <w:sz w:val="18"/>
                <w:szCs w:val="18"/>
              </w:rPr>
              <w:t xml:space="preserve">Kurzvariante mit 40 UE: Tage 1, 2, 3, 6 sowie die Gruppenarbeit an Tag 7 und 8 in verkürzter</w:t>
            </w:r>
          </w:p>
          <w:p>
            <w:pPr>
              <w:spacing w:after="24" w:before="24"/>
            </w:pPr>
            <w:r>
              <w:rPr>
                <w:rFonts w:ascii="Calibri" w:cs="Calibri" w:eastAsia="Calibri" w:hAnsi="Calibri"/>
                <w:color w:val="595959"/>
                <w:sz w:val="18"/>
                <w:szCs w:val="18"/>
              </w:rPr>
              <w:t xml:space="preserve">Form. Tag 4 und 5 entfallen beziehungsweise werden nach Lernfeld 9 und 11b verschoben.</w:t>
            </w:r>
          </w:p>
        </w:tc>
      </w:tr>
    </w:tbl>
    <w:p>
      <w:pPr>
        <w:spacing w:after="80" w:before="0"/>
      </w:pPr>
      <w:r>
        <w:t xml:space="preserve"/>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14838"/>
      </w:tblGrid>
      <w:tr>
        <w:tc>
          <w:tcPr>
            <w:tcW w:type="dxa" w:w="14838"/>
            <w:tcBorders>
              <w:top w:val="single" w:color="0066AA" w:sz="4"/>
              <w:left w:val="single" w:color="0066AA" w:sz="4"/>
              <w:bottom w:val="single" w:color="0066AA" w:sz="4"/>
              <w:right w:val="single" w:color="0066AA" w:sz="4"/>
            </w:tcBorders>
            <w:shd w:fill="FFF4DC" w:val="clear"/>
            <w:tcMar>
              <w:top w:type="dxa" w:w="80"/>
              <w:left w:type="dxa" w:w="140"/>
              <w:bottom w:type="dxa" w:w="80"/>
              <w:right w:type="dxa" w:w="140"/>
            </w:tcMar>
          </w:tcPr>
          <w:p>
            <w:pPr>
              <w:spacing w:after="40" w:before="30"/>
            </w:pPr>
            <w:r>
              <w:rPr>
                <w:rFonts w:ascii="Calibri" w:cs="Calibri" w:eastAsia="Calibri" w:hAnsi="Calibri"/>
                <w:b/>
                <w:bCs/>
                <w:color w:val="003366"/>
                <w:sz w:val="20"/>
                <w:szCs w:val="20"/>
              </w:rPr>
              <w:t xml:space="preserve">Hinweis zur Durchführung</w:t>
            </w:r>
          </w:p>
          <w:p>
            <w:pPr>
              <w:spacing w:after="24" w:before="24"/>
            </w:pPr>
            <w:r>
              <w:rPr>
                <w:rFonts w:ascii="Calibri" w:cs="Calibri" w:eastAsia="Calibri" w:hAnsi="Calibri"/>
                <w:color w:val="595959"/>
                <w:sz w:val="18"/>
                <w:szCs w:val="18"/>
              </w:rPr>
              <w:t xml:space="preserve">Die Tage 1 bis 6 bauen den fachlichen Input auf, die Tage 7 und 8 dienen der eigenständigen</w:t>
            </w:r>
          </w:p>
          <w:p>
            <w:pPr>
              <w:spacing w:after="24" w:before="24"/>
            </w:pPr>
            <w:r>
              <w:rPr>
                <w:rFonts w:ascii="Calibri" w:cs="Calibri" w:eastAsia="Calibri" w:hAnsi="Calibri"/>
                <w:color w:val="595959"/>
                <w:sz w:val="18"/>
                <w:szCs w:val="18"/>
              </w:rPr>
              <w:t xml:space="preserve">Anwendung in der Gruppenarbeit. Tag 9 sichert und prüft das Gelernte.</w:t>
            </w:r>
          </w:p>
          <w:p>
            <w:pPr>
              <w:spacing w:after="24" w:before="24"/>
            </w:pPr>
            <w:r>
              <w:rPr>
                <w:rFonts w:ascii="Calibri" w:cs="Calibri" w:eastAsia="Calibri" w:hAnsi="Calibri"/>
                <w:color w:val="595959"/>
                <w:sz w:val="18"/>
                <w:szCs w:val="18"/>
              </w:rPr>
              <w:t xml:space="preserve"/>
            </w:r>
          </w:p>
          <w:p>
            <w:pPr>
              <w:spacing w:after="24" w:before="24"/>
            </w:pPr>
            <w:r>
              <w:rPr>
                <w:rFonts w:ascii="Calibri" w:cs="Calibri" w:eastAsia="Calibri" w:hAnsi="Calibri"/>
                <w:color w:val="595959"/>
                <w:sz w:val="18"/>
                <w:szCs w:val="18"/>
              </w:rPr>
              <w:t xml:space="preserve">Bei knapper Zeit lassen sich Tag 5 und Tag 6 zusammenziehen, indem die aktuellen Entwicklungen</w:t>
            </w:r>
          </w:p>
          <w:p>
            <w:pPr>
              <w:spacing w:after="24" w:before="24"/>
            </w:pPr>
            <w:r>
              <w:rPr>
                <w:rFonts w:ascii="Calibri" w:cs="Calibri" w:eastAsia="Calibri" w:hAnsi="Calibri"/>
                <w:color w:val="595959"/>
                <w:sz w:val="18"/>
                <w:szCs w:val="18"/>
              </w:rPr>
              <w:t xml:space="preserve">als Selbstlernauftrag mit dem Handout vergeben werden.</w:t>
            </w:r>
          </w:p>
        </w:tc>
      </w:tr>
    </w:tbl>
    <w:p>
      <w:pPr>
        <w:spacing w:after="80" w:before="0"/>
      </w:pPr>
      <w:r>
        <w:t xml:space="preserve"/>
      </w:r>
    </w:p>
    <w:p>
      <w:pPr>
        <w:pStyle w:val="Heading1"/>
        <w:pBdr>
          <w:bottom w:val="single" w:color="0066AA" w:sz="6" w:space="4"/>
        </w:pBdr>
        <w:spacing w:after="80" w:before="260"/>
      </w:pPr>
      <w:r>
        <w:rPr>
          <w:rFonts w:ascii="Calibri" w:cs="Calibri" w:eastAsia="Calibri" w:hAnsi="Calibri"/>
          <w:b/>
          <w:bCs/>
          <w:color w:val="003366"/>
          <w:sz w:val="26"/>
          <w:szCs w:val="26"/>
        </w:rPr>
        <w:t xml:space="preserve">Übersicht</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1200"/>
        <w:gridCol w:w="800"/>
        <w:gridCol w:w="8838"/>
        <w:gridCol w:w="4000"/>
      </w:tblGrid>
      <w:tr>
        <w:trPr>
          <w:tblHeader/>
        </w:trPr>
        <w:tc>
          <w:tcPr>
            <w:tcW w:type="dxa" w:w="1200"/>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Tag</w:t>
            </w:r>
          </w:p>
        </w:tc>
        <w:tc>
          <w:tcPr>
            <w:tcW w:type="dxa" w:w="800"/>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UE</w:t>
            </w:r>
          </w:p>
        </w:tc>
        <w:tc>
          <w:tcPr>
            <w:tcW w:type="dxa" w:w="8838"/>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Thema</w:t>
            </w:r>
          </w:p>
        </w:tc>
        <w:tc>
          <w:tcPr>
            <w:tcW w:type="dxa" w:w="4000"/>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Leistungsnachweis</w:t>
            </w:r>
          </w:p>
        </w:tc>
      </w:tr>
      <w:tr>
        <w:tc>
          <w:tcPr>
            <w:tcW w:type="dxa" w:w="12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Tag 1</w:t>
            </w:r>
          </w:p>
        </w:tc>
        <w:tc>
          <w:tcPr>
            <w:tcW w:type="dxa" w:w="8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8</w:t>
            </w:r>
          </w:p>
        </w:tc>
        <w:tc>
          <w:tcPr>
            <w:tcW w:type="dxa" w:w="88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Grundlagen und Begriffsklärung</w:t>
            </w:r>
          </w:p>
        </w:tc>
        <w:tc>
          <w:tcPr>
            <w:tcW w:type="dxa" w:w="40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w:t>
            </w:r>
          </w:p>
        </w:tc>
      </w:tr>
      <w:tr>
        <w:tc>
          <w:tcPr>
            <w:tcW w:type="dxa" w:w="12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Tag 2</w:t>
            </w:r>
          </w:p>
        </w:tc>
        <w:tc>
          <w:tcPr>
            <w:tcW w:type="dxa" w:w="8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8</w:t>
            </w:r>
          </w:p>
        </w:tc>
        <w:tc>
          <w:tcPr>
            <w:tcW w:type="dxa" w:w="8838"/>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Bedrohungen und Angriffe</w:t>
            </w:r>
          </w:p>
        </w:tc>
        <w:tc>
          <w:tcPr>
            <w:tcW w:type="dxa" w:w="40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w:t>
            </w:r>
          </w:p>
        </w:tc>
      </w:tr>
      <w:tr>
        <w:tc>
          <w:tcPr>
            <w:tcW w:type="dxa" w:w="12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Tag 3</w:t>
            </w:r>
          </w:p>
        </w:tc>
        <w:tc>
          <w:tcPr>
            <w:tcW w:type="dxa" w:w="8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8</w:t>
            </w:r>
          </w:p>
        </w:tc>
        <w:tc>
          <w:tcPr>
            <w:tcW w:type="dxa" w:w="88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Rechtlicher Rahmen</w:t>
            </w:r>
          </w:p>
        </w:tc>
        <w:tc>
          <w:tcPr>
            <w:tcW w:type="dxa" w:w="40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w:t>
            </w:r>
          </w:p>
        </w:tc>
      </w:tr>
      <w:tr>
        <w:tc>
          <w:tcPr>
            <w:tcW w:type="dxa" w:w="12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Tag 4</w:t>
            </w:r>
          </w:p>
        </w:tc>
        <w:tc>
          <w:tcPr>
            <w:tcW w:type="dxa" w:w="8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8</w:t>
            </w:r>
          </w:p>
        </w:tc>
        <w:tc>
          <w:tcPr>
            <w:tcW w:type="dxa" w:w="8838"/>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Netzwerkschutz</w:t>
            </w:r>
          </w:p>
        </w:tc>
        <w:tc>
          <w:tcPr>
            <w:tcW w:type="dxa" w:w="40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w:t>
            </w:r>
          </w:p>
        </w:tc>
      </w:tr>
      <w:tr>
        <w:tc>
          <w:tcPr>
            <w:tcW w:type="dxa" w:w="12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Tag 5</w:t>
            </w:r>
          </w:p>
        </w:tc>
        <w:tc>
          <w:tcPr>
            <w:tcW w:type="dxa" w:w="8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8</w:t>
            </w:r>
          </w:p>
        </w:tc>
        <w:tc>
          <w:tcPr>
            <w:tcW w:type="dxa" w:w="88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Schutzmaßnahmen und aktuelle Entwicklungen</w:t>
            </w:r>
          </w:p>
        </w:tc>
        <w:tc>
          <w:tcPr>
            <w:tcW w:type="dxa" w:w="40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w:t>
            </w:r>
          </w:p>
        </w:tc>
      </w:tr>
      <w:tr>
        <w:tc>
          <w:tcPr>
            <w:tcW w:type="dxa" w:w="12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Tag 6</w:t>
            </w:r>
          </w:p>
        </w:tc>
        <w:tc>
          <w:tcPr>
            <w:tcW w:type="dxa" w:w="8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8</w:t>
            </w:r>
          </w:p>
        </w:tc>
        <w:tc>
          <w:tcPr>
            <w:tcW w:type="dxa" w:w="8838"/>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Methodik der Schutzbedarfsanalyse</w:t>
            </w:r>
          </w:p>
        </w:tc>
        <w:tc>
          <w:tcPr>
            <w:tcW w:type="dxa" w:w="40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w:t>
            </w:r>
          </w:p>
        </w:tc>
      </w:tr>
      <w:tr>
        <w:tc>
          <w:tcPr>
            <w:tcW w:type="dxa" w:w="12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Tag 7</w:t>
            </w:r>
          </w:p>
        </w:tc>
        <w:tc>
          <w:tcPr>
            <w:tcW w:type="dxa" w:w="8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8</w:t>
            </w:r>
          </w:p>
        </w:tc>
        <w:tc>
          <w:tcPr>
            <w:tcW w:type="dxa" w:w="88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Gruppenarbeit Teil 1</w:t>
            </w:r>
          </w:p>
        </w:tc>
        <w:tc>
          <w:tcPr>
            <w:tcW w:type="dxa" w:w="40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w:t>
            </w:r>
          </w:p>
        </w:tc>
      </w:tr>
      <w:tr>
        <w:tc>
          <w:tcPr>
            <w:tcW w:type="dxa" w:w="12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Tag 8</w:t>
            </w:r>
          </w:p>
        </w:tc>
        <w:tc>
          <w:tcPr>
            <w:tcW w:type="dxa" w:w="8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8</w:t>
            </w:r>
          </w:p>
        </w:tc>
        <w:tc>
          <w:tcPr>
            <w:tcW w:type="dxa" w:w="8838"/>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Gruppenarbeit Teil 2 und Präsentationen</w:t>
            </w:r>
          </w:p>
        </w:tc>
        <w:tc>
          <w:tcPr>
            <w:tcW w:type="dxa" w:w="40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Gruppenarbeit</w:t>
            </w:r>
          </w:p>
        </w:tc>
      </w:tr>
      <w:tr>
        <w:tc>
          <w:tcPr>
            <w:tcW w:type="dxa" w:w="12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Tag 9</w:t>
            </w:r>
          </w:p>
        </w:tc>
        <w:tc>
          <w:tcPr>
            <w:tcW w:type="dxa" w:w="8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8</w:t>
            </w:r>
          </w:p>
        </w:tc>
        <w:tc>
          <w:tcPr>
            <w:tcW w:type="dxa" w:w="88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Wiederholung und Lernzielkontrolle</w:t>
            </w:r>
          </w:p>
        </w:tc>
        <w:tc>
          <w:tcPr>
            <w:tcW w:type="dxa" w:w="40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Lernzielkontrolle</w:t>
            </w:r>
          </w:p>
        </w:tc>
      </w:tr>
    </w:tbl>
    <w:p>
      <w:pPr>
        <w:spacing w:after="80" w:before="0"/>
      </w:pPr>
      <w:r>
        <w:t xml:space="preserve"/>
      </w:r>
    </w:p>
    <w:p>
      <w:r>
        <w:br w:type="page"/>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1600"/>
        <w:gridCol w:w="13238"/>
      </w:tblGrid>
      <w:tr>
        <w:tc>
          <w:tcPr>
            <w:tcW w:type="dxa" w:w="1600"/>
            <w:tcBorders>
              <w:top w:val="single" w:color="0066AA" w:sz="4"/>
              <w:left w:val="single" w:color="0066AA" w:sz="4"/>
              <w:bottom w:val="single" w:color="0066AA" w:sz="4"/>
              <w:right w:val="single" w:color="0066AA" w:sz="4"/>
            </w:tcBorders>
            <w:shd w:fill="0066AA" w:val="clear"/>
            <w:tcMar>
              <w:top w:type="dxa" w:w="70"/>
              <w:left w:type="dxa" w:w="120"/>
              <w:bottom w:type="dxa" w:w="70"/>
              <w:right w:type="dxa" w:w="100"/>
            </w:tcMar>
          </w:tcPr>
          <w:p>
            <w:r>
              <w:rPr>
                <w:rFonts w:ascii="Calibri" w:cs="Calibri" w:eastAsia="Calibri" w:hAnsi="Calibri"/>
                <w:b/>
                <w:bCs/>
                <w:color w:val="FFFFFF"/>
                <w:sz w:val="22"/>
                <w:szCs w:val="22"/>
              </w:rPr>
              <w:t xml:space="preserve">Tag 1</w:t>
            </w:r>
          </w:p>
          <w:p>
            <w:r>
              <w:rPr>
                <w:rFonts w:ascii="Calibri" w:cs="Calibri" w:eastAsia="Calibri" w:hAnsi="Calibri"/>
                <w:color w:val="FFFFFF"/>
                <w:sz w:val="17"/>
                <w:szCs w:val="17"/>
              </w:rPr>
              <w:t xml:space="preserve">8 UE</w:t>
            </w:r>
          </w:p>
        </w:tc>
        <w:tc>
          <w:tcPr>
            <w:tcW w:type="dxa" w:w="13238"/>
            <w:tcBorders>
              <w:top w:val="single" w:color="0066AA" w:sz="4"/>
              <w:left w:val="single" w:color="0066AA" w:sz="4"/>
              <w:bottom w:val="single" w:color="0066AA" w:sz="4"/>
              <w:right w:val="single" w:color="0066AA" w:sz="4"/>
            </w:tcBorders>
            <w:shd w:fill="D6E4F0" w:val="clear"/>
            <w:tcMar>
              <w:top w:type="dxa" w:w="70"/>
              <w:left w:type="dxa" w:w="130"/>
              <w:bottom w:type="dxa" w:w="70"/>
              <w:right w:type="dxa" w:w="120"/>
            </w:tcMar>
          </w:tcPr>
          <w:p>
            <w:r>
              <w:rPr>
                <w:rFonts w:ascii="Calibri" w:cs="Calibri" w:eastAsia="Calibri" w:hAnsi="Calibri"/>
                <w:b/>
                <w:bCs/>
                <w:color w:val="003366"/>
                <w:sz w:val="22"/>
                <w:szCs w:val="22"/>
              </w:rPr>
              <w:t xml:space="preserve">Grundlagen und Begriffsklärung</w:t>
            </w:r>
          </w:p>
        </w:tc>
      </w:tr>
    </w:tbl>
    <w:p>
      <w:pPr>
        <w:spacing w:after="80" w:before="0"/>
      </w:pPr>
      <w:r>
        <w:t xml:space="preserve"/>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5500"/>
        <w:gridCol w:w="4500"/>
        <w:gridCol w:w="4838"/>
      </w:tblGrid>
      <w:tr>
        <w:trPr>
          <w:tblHeader/>
        </w:trPr>
        <w:tc>
          <w:tcPr>
            <w:tcW w:type="dxa" w:w="5500"/>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Inhalte</w:t>
            </w:r>
          </w:p>
        </w:tc>
        <w:tc>
          <w:tcPr>
            <w:tcW w:type="dxa" w:w="4500"/>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Material</w:t>
            </w:r>
          </w:p>
        </w:tc>
        <w:tc>
          <w:tcPr>
            <w:tcW w:type="dxa" w:w="4838"/>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Methode</w:t>
            </w:r>
          </w:p>
        </w:tc>
      </w:tr>
      <w:tr>
        <w:tc>
          <w:tcPr>
            <w:tcW w:type="dxa" w:w="55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 Einstieg: Szenario MedZentrum vorstellen
• Datenschutz und Datensicherheit abgrenzen
• Schutzziele der CIA-Triade
• Erweiterte Schutzziele</w:t>
            </w:r>
          </w:p>
        </w:tc>
        <w:tc>
          <w:tcPr>
            <w:tcW w:type="dxa" w:w="45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 LF4_Einfuehrung.pptx Folien 1–8
• LF4_Handout
• Lernzettel Kap. 1 und 5</w:t>
            </w:r>
          </w:p>
        </w:tc>
        <w:tc>
          <w:tcPr>
            <w:tcW w:type="dxa" w:w="48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Lehrgespräch, Partnerarbeit zur Zuordnung von Vorfällen zu Schutzzielen</w:t>
            </w:r>
          </w:p>
        </w:tc>
      </w:tr>
    </w:tbl>
    <w:p>
      <w:pPr>
        <w:spacing w:after="80" w:before="0"/>
      </w:pPr>
      <w:r>
        <w:t xml:space="preserve"/>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1600"/>
        <w:gridCol w:w="13238"/>
      </w:tblGrid>
      <w:tr>
        <w:tc>
          <w:tcPr>
            <w:tcW w:type="dxa" w:w="1600"/>
            <w:tcBorders>
              <w:top w:val="single" w:color="0066AA" w:sz="4"/>
              <w:left w:val="single" w:color="0066AA" w:sz="4"/>
              <w:bottom w:val="single" w:color="0066AA" w:sz="4"/>
              <w:right w:val="single" w:color="0066AA" w:sz="4"/>
            </w:tcBorders>
            <w:shd w:fill="0066AA" w:val="clear"/>
            <w:tcMar>
              <w:top w:type="dxa" w:w="70"/>
              <w:left w:type="dxa" w:w="120"/>
              <w:bottom w:type="dxa" w:w="70"/>
              <w:right w:type="dxa" w:w="100"/>
            </w:tcMar>
          </w:tcPr>
          <w:p>
            <w:r>
              <w:rPr>
                <w:rFonts w:ascii="Calibri" w:cs="Calibri" w:eastAsia="Calibri" w:hAnsi="Calibri"/>
                <w:b/>
                <w:bCs/>
                <w:color w:val="FFFFFF"/>
                <w:sz w:val="22"/>
                <w:szCs w:val="22"/>
              </w:rPr>
              <w:t xml:space="preserve">Tag 2</w:t>
            </w:r>
          </w:p>
          <w:p>
            <w:r>
              <w:rPr>
                <w:rFonts w:ascii="Calibri" w:cs="Calibri" w:eastAsia="Calibri" w:hAnsi="Calibri"/>
                <w:color w:val="FFFFFF"/>
                <w:sz w:val="17"/>
                <w:szCs w:val="17"/>
              </w:rPr>
              <w:t xml:space="preserve">8 UE</w:t>
            </w:r>
          </w:p>
        </w:tc>
        <w:tc>
          <w:tcPr>
            <w:tcW w:type="dxa" w:w="13238"/>
            <w:tcBorders>
              <w:top w:val="single" w:color="0066AA" w:sz="4"/>
              <w:left w:val="single" w:color="0066AA" w:sz="4"/>
              <w:bottom w:val="single" w:color="0066AA" w:sz="4"/>
              <w:right w:val="single" w:color="0066AA" w:sz="4"/>
            </w:tcBorders>
            <w:shd w:fill="D6E4F0" w:val="clear"/>
            <w:tcMar>
              <w:top w:type="dxa" w:w="70"/>
              <w:left w:type="dxa" w:w="130"/>
              <w:bottom w:type="dxa" w:w="70"/>
              <w:right w:type="dxa" w:w="120"/>
            </w:tcMar>
          </w:tcPr>
          <w:p>
            <w:r>
              <w:rPr>
                <w:rFonts w:ascii="Calibri" w:cs="Calibri" w:eastAsia="Calibri" w:hAnsi="Calibri"/>
                <w:b/>
                <w:bCs/>
                <w:color w:val="003366"/>
                <w:sz w:val="22"/>
                <w:szCs w:val="22"/>
              </w:rPr>
              <w:t xml:space="preserve">Bedrohungen und Angriffe</w:t>
            </w:r>
          </w:p>
        </w:tc>
      </w:tr>
    </w:tbl>
    <w:p>
      <w:pPr>
        <w:spacing w:after="80" w:before="0"/>
      </w:pPr>
      <w:r>
        <w:t xml:space="preserve"/>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5500"/>
        <w:gridCol w:w="4500"/>
        <w:gridCol w:w="4838"/>
      </w:tblGrid>
      <w:tr>
        <w:trPr>
          <w:tblHeader/>
        </w:trPr>
        <w:tc>
          <w:tcPr>
            <w:tcW w:type="dxa" w:w="5500"/>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Inhalte</w:t>
            </w:r>
          </w:p>
        </w:tc>
        <w:tc>
          <w:tcPr>
            <w:tcW w:type="dxa" w:w="4500"/>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Material</w:t>
            </w:r>
          </w:p>
        </w:tc>
        <w:tc>
          <w:tcPr>
            <w:tcW w:type="dxa" w:w="4838"/>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Methode</w:t>
            </w:r>
          </w:p>
        </w:tc>
      </w:tr>
      <w:tr>
        <w:tc>
          <w:tcPr>
            <w:tcW w:type="dxa" w:w="55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 Bedrohungskategorien und BSI-Gefährdungskatalog
• Gängige Cyberangriffe nach BSI-Lagebericht
• Angriffsvektoren systematisch erfassen
• Der Mensch als Angriffsziel: Social Engineering</w:t>
            </w:r>
          </w:p>
        </w:tc>
        <w:tc>
          <w:tcPr>
            <w:tcW w:type="dxa" w:w="45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 LF4_Einfuehrung.pptx Folien 5–7
• Lernzettel Kap. 2–4
• Abkürzungsverzeichnis</w:t>
            </w:r>
          </w:p>
        </w:tc>
        <w:tc>
          <w:tcPr>
            <w:tcW w:type="dxa" w:w="48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Input, Gruppenpuzzle zu Angriffsarten, Diskussion aktueller Vorfälle</w:t>
            </w:r>
          </w:p>
        </w:tc>
      </w:tr>
    </w:tbl>
    <w:p>
      <w:pPr>
        <w:spacing w:after="80" w:before="0"/>
      </w:pPr>
      <w:r>
        <w:t xml:space="preserve"/>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1600"/>
        <w:gridCol w:w="13238"/>
      </w:tblGrid>
      <w:tr>
        <w:tc>
          <w:tcPr>
            <w:tcW w:type="dxa" w:w="1600"/>
            <w:tcBorders>
              <w:top w:val="single" w:color="0066AA" w:sz="4"/>
              <w:left w:val="single" w:color="0066AA" w:sz="4"/>
              <w:bottom w:val="single" w:color="0066AA" w:sz="4"/>
              <w:right w:val="single" w:color="0066AA" w:sz="4"/>
            </w:tcBorders>
            <w:shd w:fill="0066AA" w:val="clear"/>
            <w:tcMar>
              <w:top w:type="dxa" w:w="70"/>
              <w:left w:type="dxa" w:w="120"/>
              <w:bottom w:type="dxa" w:w="70"/>
              <w:right w:type="dxa" w:w="100"/>
            </w:tcMar>
          </w:tcPr>
          <w:p>
            <w:r>
              <w:rPr>
                <w:rFonts w:ascii="Calibri" w:cs="Calibri" w:eastAsia="Calibri" w:hAnsi="Calibri"/>
                <w:b/>
                <w:bCs/>
                <w:color w:val="FFFFFF"/>
                <w:sz w:val="22"/>
                <w:szCs w:val="22"/>
              </w:rPr>
              <w:t xml:space="preserve">Tag 3</w:t>
            </w:r>
          </w:p>
          <w:p>
            <w:r>
              <w:rPr>
                <w:rFonts w:ascii="Calibri" w:cs="Calibri" w:eastAsia="Calibri" w:hAnsi="Calibri"/>
                <w:color w:val="FFFFFF"/>
                <w:sz w:val="17"/>
                <w:szCs w:val="17"/>
              </w:rPr>
              <w:t xml:space="preserve">8 UE</w:t>
            </w:r>
          </w:p>
        </w:tc>
        <w:tc>
          <w:tcPr>
            <w:tcW w:type="dxa" w:w="13238"/>
            <w:tcBorders>
              <w:top w:val="single" w:color="0066AA" w:sz="4"/>
              <w:left w:val="single" w:color="0066AA" w:sz="4"/>
              <w:bottom w:val="single" w:color="0066AA" w:sz="4"/>
              <w:right w:val="single" w:color="0066AA" w:sz="4"/>
            </w:tcBorders>
            <w:shd w:fill="D6E4F0" w:val="clear"/>
            <w:tcMar>
              <w:top w:type="dxa" w:w="70"/>
              <w:left w:type="dxa" w:w="130"/>
              <w:bottom w:type="dxa" w:w="70"/>
              <w:right w:type="dxa" w:w="120"/>
            </w:tcMar>
          </w:tcPr>
          <w:p>
            <w:r>
              <w:rPr>
                <w:rFonts w:ascii="Calibri" w:cs="Calibri" w:eastAsia="Calibri" w:hAnsi="Calibri"/>
                <w:b/>
                <w:bCs/>
                <w:color w:val="003366"/>
                <w:sz w:val="22"/>
                <w:szCs w:val="22"/>
              </w:rPr>
              <w:t xml:space="preserve">Rechtlicher Rahmen</w:t>
            </w:r>
          </w:p>
        </w:tc>
      </w:tr>
    </w:tbl>
    <w:p>
      <w:pPr>
        <w:spacing w:after="80" w:before="0"/>
      </w:pPr>
      <w:r>
        <w:t xml:space="preserve"/>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5500"/>
        <w:gridCol w:w="4500"/>
        <w:gridCol w:w="4838"/>
      </w:tblGrid>
      <w:tr>
        <w:trPr>
          <w:tblHeader/>
        </w:trPr>
        <w:tc>
          <w:tcPr>
            <w:tcW w:type="dxa" w:w="5500"/>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Inhalte</w:t>
            </w:r>
          </w:p>
        </w:tc>
        <w:tc>
          <w:tcPr>
            <w:tcW w:type="dxa" w:w="4500"/>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Material</w:t>
            </w:r>
          </w:p>
        </w:tc>
        <w:tc>
          <w:tcPr>
            <w:tcW w:type="dxa" w:w="4838"/>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Methode</w:t>
            </w:r>
          </w:p>
        </w:tc>
      </w:tr>
      <w:tr>
        <w:tc>
          <w:tcPr>
            <w:tcW w:type="dxa" w:w="55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 Gesetzeskatalog: DSGVO, BDSG, BSI-Gesetz, NIS2
• Branchenspezifische Vorgaben
• Betroffenenrechte nach Art. 12–22 DSGVO
• Meldepflichten bei Datenpannen</w:t>
            </w:r>
          </w:p>
        </w:tc>
        <w:tc>
          <w:tcPr>
            <w:tcW w:type="dxa" w:w="45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 Betroffenenrechte-1-Seiter
• IT-Sicherheitsleitlinie MedZentrum
• Lernzettel Kap. 6</w:t>
            </w:r>
          </w:p>
        </w:tc>
        <w:tc>
          <w:tcPr>
            <w:tcW w:type="dxa" w:w="48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Fallarbeit: Betroffenenanfragen bearbeiten, Rollenspiel Auskunftsersuchen</w:t>
            </w:r>
          </w:p>
        </w:tc>
      </w:tr>
    </w:tbl>
    <w:p>
      <w:pPr>
        <w:spacing w:after="80" w:before="0"/>
      </w:pPr>
      <w:r>
        <w:t xml:space="preserve"/>
      </w:r>
    </w:p>
    <w:p>
      <w:r>
        <w:br w:type="page"/>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1600"/>
        <w:gridCol w:w="13238"/>
      </w:tblGrid>
      <w:tr>
        <w:tc>
          <w:tcPr>
            <w:tcW w:type="dxa" w:w="1600"/>
            <w:tcBorders>
              <w:top w:val="single" w:color="0066AA" w:sz="4"/>
              <w:left w:val="single" w:color="0066AA" w:sz="4"/>
              <w:bottom w:val="single" w:color="0066AA" w:sz="4"/>
              <w:right w:val="single" w:color="0066AA" w:sz="4"/>
            </w:tcBorders>
            <w:shd w:fill="0066AA" w:val="clear"/>
            <w:tcMar>
              <w:top w:type="dxa" w:w="70"/>
              <w:left w:type="dxa" w:w="120"/>
              <w:bottom w:type="dxa" w:w="70"/>
              <w:right w:type="dxa" w:w="100"/>
            </w:tcMar>
          </w:tcPr>
          <w:p>
            <w:r>
              <w:rPr>
                <w:rFonts w:ascii="Calibri" w:cs="Calibri" w:eastAsia="Calibri" w:hAnsi="Calibri"/>
                <w:b/>
                <w:bCs/>
                <w:color w:val="FFFFFF"/>
                <w:sz w:val="22"/>
                <w:szCs w:val="22"/>
              </w:rPr>
              <w:t xml:space="preserve">Tag 4</w:t>
            </w:r>
          </w:p>
          <w:p>
            <w:r>
              <w:rPr>
                <w:rFonts w:ascii="Calibri" w:cs="Calibri" w:eastAsia="Calibri" w:hAnsi="Calibri"/>
                <w:color w:val="FFFFFF"/>
                <w:sz w:val="17"/>
                <w:szCs w:val="17"/>
              </w:rPr>
              <w:t xml:space="preserve">8 UE</w:t>
            </w:r>
          </w:p>
        </w:tc>
        <w:tc>
          <w:tcPr>
            <w:tcW w:type="dxa" w:w="13238"/>
            <w:tcBorders>
              <w:top w:val="single" w:color="0066AA" w:sz="4"/>
              <w:left w:val="single" w:color="0066AA" w:sz="4"/>
              <w:bottom w:val="single" w:color="0066AA" w:sz="4"/>
              <w:right w:val="single" w:color="0066AA" w:sz="4"/>
            </w:tcBorders>
            <w:shd w:fill="D6E4F0" w:val="clear"/>
            <w:tcMar>
              <w:top w:type="dxa" w:w="70"/>
              <w:left w:type="dxa" w:w="130"/>
              <w:bottom w:type="dxa" w:w="70"/>
              <w:right w:type="dxa" w:w="120"/>
            </w:tcMar>
          </w:tcPr>
          <w:p>
            <w:r>
              <w:rPr>
                <w:rFonts w:ascii="Calibri" w:cs="Calibri" w:eastAsia="Calibri" w:hAnsi="Calibri"/>
                <w:b/>
                <w:bCs/>
                <w:color w:val="003366"/>
                <w:sz w:val="22"/>
                <w:szCs w:val="22"/>
              </w:rPr>
              <w:t xml:space="preserve">Netzwerkschutz</w:t>
            </w:r>
          </w:p>
        </w:tc>
      </w:tr>
    </w:tbl>
    <w:p>
      <w:pPr>
        <w:spacing w:after="80" w:before="0"/>
      </w:pPr>
      <w:r>
        <w:t xml:space="preserve"/>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5500"/>
        <w:gridCol w:w="4500"/>
        <w:gridCol w:w="4838"/>
      </w:tblGrid>
      <w:tr>
        <w:trPr>
          <w:tblHeader/>
        </w:trPr>
        <w:tc>
          <w:tcPr>
            <w:tcW w:type="dxa" w:w="5500"/>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Inhalte</w:t>
            </w:r>
          </w:p>
        </w:tc>
        <w:tc>
          <w:tcPr>
            <w:tcW w:type="dxa" w:w="4500"/>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Material</w:t>
            </w:r>
          </w:p>
        </w:tc>
        <w:tc>
          <w:tcPr>
            <w:tcW w:type="dxa" w:w="4838"/>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Methode</w:t>
            </w:r>
          </w:p>
        </w:tc>
      </w:tr>
      <w:tr>
        <w:tc>
          <w:tcPr>
            <w:tcW w:type="dxa" w:w="55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 Firewall-Arten von Paketfilter bis NGFW
• DMZ als Sicherheitszone
• Forward Proxy und Reverse Proxy
• Gesamtarchitektur entwerfen</w:t>
            </w:r>
          </w:p>
        </w:tc>
        <w:tc>
          <w:tcPr>
            <w:tcW w:type="dxa" w:w="45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 FW_DMZ_Proxy.pptx
• FW_DMZ_Proxy_Handout</w:t>
            </w:r>
          </w:p>
        </w:tc>
        <w:tc>
          <w:tcPr>
            <w:tcW w:type="dxa" w:w="48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Input mit Tafelbild, Partnerarbeit: Netzarchitektur für ein Beispielunternehmen skizzieren</w:t>
            </w:r>
          </w:p>
        </w:tc>
      </w:tr>
    </w:tbl>
    <w:p>
      <w:pPr>
        <w:spacing w:after="80" w:before="0"/>
      </w:pPr>
      <w:r>
        <w:t xml:space="preserve"/>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1600"/>
        <w:gridCol w:w="13238"/>
      </w:tblGrid>
      <w:tr>
        <w:tc>
          <w:tcPr>
            <w:tcW w:type="dxa" w:w="1600"/>
            <w:tcBorders>
              <w:top w:val="single" w:color="0066AA" w:sz="4"/>
              <w:left w:val="single" w:color="0066AA" w:sz="4"/>
              <w:bottom w:val="single" w:color="0066AA" w:sz="4"/>
              <w:right w:val="single" w:color="0066AA" w:sz="4"/>
            </w:tcBorders>
            <w:shd w:fill="0066AA" w:val="clear"/>
            <w:tcMar>
              <w:top w:type="dxa" w:w="70"/>
              <w:left w:type="dxa" w:w="120"/>
              <w:bottom w:type="dxa" w:w="70"/>
              <w:right w:type="dxa" w:w="100"/>
            </w:tcMar>
          </w:tcPr>
          <w:p>
            <w:r>
              <w:rPr>
                <w:rFonts w:ascii="Calibri" w:cs="Calibri" w:eastAsia="Calibri" w:hAnsi="Calibri"/>
                <w:b/>
                <w:bCs/>
                <w:color w:val="FFFFFF"/>
                <w:sz w:val="22"/>
                <w:szCs w:val="22"/>
              </w:rPr>
              <w:t xml:space="preserve">Tag 5</w:t>
            </w:r>
          </w:p>
          <w:p>
            <w:r>
              <w:rPr>
                <w:rFonts w:ascii="Calibri" w:cs="Calibri" w:eastAsia="Calibri" w:hAnsi="Calibri"/>
                <w:color w:val="FFFFFF"/>
                <w:sz w:val="17"/>
                <w:szCs w:val="17"/>
              </w:rPr>
              <w:t xml:space="preserve">8 UE</w:t>
            </w:r>
          </w:p>
        </w:tc>
        <w:tc>
          <w:tcPr>
            <w:tcW w:type="dxa" w:w="13238"/>
            <w:tcBorders>
              <w:top w:val="single" w:color="0066AA" w:sz="4"/>
              <w:left w:val="single" w:color="0066AA" w:sz="4"/>
              <w:bottom w:val="single" w:color="0066AA" w:sz="4"/>
              <w:right w:val="single" w:color="0066AA" w:sz="4"/>
            </w:tcBorders>
            <w:shd w:fill="D6E4F0" w:val="clear"/>
            <w:tcMar>
              <w:top w:type="dxa" w:w="70"/>
              <w:left w:type="dxa" w:w="130"/>
              <w:bottom w:type="dxa" w:w="70"/>
              <w:right w:type="dxa" w:w="120"/>
            </w:tcMar>
          </w:tcPr>
          <w:p>
            <w:r>
              <w:rPr>
                <w:rFonts w:ascii="Calibri" w:cs="Calibri" w:eastAsia="Calibri" w:hAnsi="Calibri"/>
                <w:b/>
                <w:bCs/>
                <w:color w:val="003366"/>
                <w:sz w:val="22"/>
                <w:szCs w:val="22"/>
              </w:rPr>
              <w:t xml:space="preserve">Schutzmaßnahmen und aktuelle Entwicklungen</w:t>
            </w:r>
          </w:p>
        </w:tc>
      </w:tr>
    </w:tbl>
    <w:p>
      <w:pPr>
        <w:spacing w:after="80" w:before="0"/>
      </w:pPr>
      <w:r>
        <w:t xml:space="preserve"/>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5500"/>
        <w:gridCol w:w="4500"/>
        <w:gridCol w:w="4838"/>
      </w:tblGrid>
      <w:tr>
        <w:trPr>
          <w:tblHeader/>
        </w:trPr>
        <w:tc>
          <w:tcPr>
            <w:tcW w:type="dxa" w:w="5500"/>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Inhalte</w:t>
            </w:r>
          </w:p>
        </w:tc>
        <w:tc>
          <w:tcPr>
            <w:tcW w:type="dxa" w:w="4500"/>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Material</w:t>
            </w:r>
          </w:p>
        </w:tc>
        <w:tc>
          <w:tcPr>
            <w:tcW w:type="dxa" w:w="4838"/>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Methode</w:t>
            </w:r>
          </w:p>
        </w:tc>
      </w:tr>
      <w:tr>
        <w:tc>
          <w:tcPr>
            <w:tcW w:type="dxa" w:w="55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 Technische Maßnahmen im Überblick
• Organisatorische Maßnahmen im Überblick
• Zero Trust, KI in der IT-Sicherheit, Supply Chain Security
• Datenschutz by Design und by Default</w:t>
            </w:r>
          </w:p>
        </w:tc>
        <w:tc>
          <w:tcPr>
            <w:tcW w:type="dxa" w:w="45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 LF4_Einfuehrung.pptx Folien 10–11
• DS_Aktuelle_Themen.pptx
• beide Handouts</w:t>
            </w:r>
          </w:p>
        </w:tc>
        <w:tc>
          <w:tcPr>
            <w:tcW w:type="dxa" w:w="48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Input, Kleingruppen: Maßnahmenkatalog zu vorgegebenen Schwachstellen erstellen</w:t>
            </w:r>
          </w:p>
        </w:tc>
      </w:tr>
    </w:tbl>
    <w:p>
      <w:pPr>
        <w:spacing w:after="80" w:before="0"/>
      </w:pPr>
      <w:r>
        <w:t xml:space="preserve"/>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1600"/>
        <w:gridCol w:w="13238"/>
      </w:tblGrid>
      <w:tr>
        <w:tc>
          <w:tcPr>
            <w:tcW w:type="dxa" w:w="1600"/>
            <w:tcBorders>
              <w:top w:val="single" w:color="0066AA" w:sz="4"/>
              <w:left w:val="single" w:color="0066AA" w:sz="4"/>
              <w:bottom w:val="single" w:color="0066AA" w:sz="4"/>
              <w:right w:val="single" w:color="0066AA" w:sz="4"/>
            </w:tcBorders>
            <w:shd w:fill="0066AA" w:val="clear"/>
            <w:tcMar>
              <w:top w:type="dxa" w:w="70"/>
              <w:left w:type="dxa" w:w="120"/>
              <w:bottom w:type="dxa" w:w="70"/>
              <w:right w:type="dxa" w:w="100"/>
            </w:tcMar>
          </w:tcPr>
          <w:p>
            <w:r>
              <w:rPr>
                <w:rFonts w:ascii="Calibri" w:cs="Calibri" w:eastAsia="Calibri" w:hAnsi="Calibri"/>
                <w:b/>
                <w:bCs/>
                <w:color w:val="FFFFFF"/>
                <w:sz w:val="22"/>
                <w:szCs w:val="22"/>
              </w:rPr>
              <w:t xml:space="preserve">Tag 6</w:t>
            </w:r>
          </w:p>
          <w:p>
            <w:r>
              <w:rPr>
                <w:rFonts w:ascii="Calibri" w:cs="Calibri" w:eastAsia="Calibri" w:hAnsi="Calibri"/>
                <w:color w:val="FFFFFF"/>
                <w:sz w:val="17"/>
                <w:szCs w:val="17"/>
              </w:rPr>
              <w:t xml:space="preserve">8 UE</w:t>
            </w:r>
          </w:p>
        </w:tc>
        <w:tc>
          <w:tcPr>
            <w:tcW w:type="dxa" w:w="13238"/>
            <w:tcBorders>
              <w:top w:val="single" w:color="0066AA" w:sz="4"/>
              <w:left w:val="single" w:color="0066AA" w:sz="4"/>
              <w:bottom w:val="single" w:color="0066AA" w:sz="4"/>
              <w:right w:val="single" w:color="0066AA" w:sz="4"/>
            </w:tcBorders>
            <w:shd w:fill="D6E4F0" w:val="clear"/>
            <w:tcMar>
              <w:top w:type="dxa" w:w="70"/>
              <w:left w:type="dxa" w:w="130"/>
              <w:bottom w:type="dxa" w:w="70"/>
              <w:right w:type="dxa" w:w="120"/>
            </w:tcMar>
          </w:tcPr>
          <w:p>
            <w:r>
              <w:rPr>
                <w:rFonts w:ascii="Calibri" w:cs="Calibri" w:eastAsia="Calibri" w:hAnsi="Calibri"/>
                <w:b/>
                <w:bCs/>
                <w:color w:val="003366"/>
                <w:sz w:val="22"/>
                <w:szCs w:val="22"/>
              </w:rPr>
              <w:t xml:space="preserve">Methodik der Schutzbedarfsanalyse</w:t>
            </w:r>
          </w:p>
        </w:tc>
      </w:tr>
    </w:tbl>
    <w:p>
      <w:pPr>
        <w:spacing w:after="80" w:before="0"/>
      </w:pPr>
      <w:r>
        <w:t xml:space="preserve"/>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5500"/>
        <w:gridCol w:w="4500"/>
        <w:gridCol w:w="4838"/>
      </w:tblGrid>
      <w:tr>
        <w:trPr>
          <w:tblHeader/>
        </w:trPr>
        <w:tc>
          <w:tcPr>
            <w:tcW w:type="dxa" w:w="5500"/>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Inhalte</w:t>
            </w:r>
          </w:p>
        </w:tc>
        <w:tc>
          <w:tcPr>
            <w:tcW w:type="dxa" w:w="4500"/>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Material</w:t>
            </w:r>
          </w:p>
        </w:tc>
        <w:tc>
          <w:tcPr>
            <w:tcW w:type="dxa" w:w="4838"/>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Methode</w:t>
            </w:r>
          </w:p>
        </w:tc>
      </w:tr>
      <w:tr>
        <w:tc>
          <w:tcPr>
            <w:tcW w:type="dxa" w:w="55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 BSI-Standard 200-2: Vorgehensmodell in sechs Schritten
• Schutzbedarfskategorien normal, hoch, sehr hoch
• Maximumprinzip anwenden
• Klassifikation der sechs Schadensszenarien nach BSI
• Abgleich der Ergebnisse mit der IT-Sicherheitsleitlinie
• Risikobewertung: Eintrittswahrscheinlichkeit und Schadenshöhe</w:t>
            </w:r>
          </w:p>
        </w:tc>
        <w:tc>
          <w:tcPr>
            <w:tcW w:type="dxa" w:w="45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 LF4_Einfuehrung.pptx Folien 12–13
• IT-Sicherheitsleitlinie MedZentrum
• Arbeitshilfe Schadensszenarien
• Lernzettel Kap. 8</w:t>
            </w:r>
          </w:p>
        </w:tc>
        <w:tc>
          <w:tcPr>
            <w:tcW w:type="dxa" w:w="48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Input, gemeinsame Durchführung am Beispiel MedZentrum, Einzelübung am Lerntool</w:t>
            </w:r>
          </w:p>
        </w:tc>
      </w:tr>
    </w:tbl>
    <w:p>
      <w:pPr>
        <w:spacing w:after="80" w:before="0"/>
      </w:pPr>
      <w:r>
        <w:t xml:space="preserve"/>
      </w:r>
    </w:p>
    <w:p>
      <w:r>
        <w:br w:type="page"/>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1600"/>
        <w:gridCol w:w="13238"/>
      </w:tblGrid>
      <w:tr>
        <w:tc>
          <w:tcPr>
            <w:tcW w:type="dxa" w:w="1600"/>
            <w:tcBorders>
              <w:top w:val="single" w:color="0066AA" w:sz="4"/>
              <w:left w:val="single" w:color="0066AA" w:sz="4"/>
              <w:bottom w:val="single" w:color="0066AA" w:sz="4"/>
              <w:right w:val="single" w:color="0066AA" w:sz="4"/>
            </w:tcBorders>
            <w:shd w:fill="0066AA" w:val="clear"/>
            <w:tcMar>
              <w:top w:type="dxa" w:w="70"/>
              <w:left w:type="dxa" w:w="120"/>
              <w:bottom w:type="dxa" w:w="70"/>
              <w:right w:type="dxa" w:w="100"/>
            </w:tcMar>
          </w:tcPr>
          <w:p>
            <w:r>
              <w:rPr>
                <w:rFonts w:ascii="Calibri" w:cs="Calibri" w:eastAsia="Calibri" w:hAnsi="Calibri"/>
                <w:b/>
                <w:bCs/>
                <w:color w:val="FFFFFF"/>
                <w:sz w:val="22"/>
                <w:szCs w:val="22"/>
              </w:rPr>
              <w:t xml:space="preserve">Tag 7</w:t>
            </w:r>
          </w:p>
          <w:p>
            <w:r>
              <w:rPr>
                <w:rFonts w:ascii="Calibri" w:cs="Calibri" w:eastAsia="Calibri" w:hAnsi="Calibri"/>
                <w:color w:val="FFFFFF"/>
                <w:sz w:val="17"/>
                <w:szCs w:val="17"/>
              </w:rPr>
              <w:t xml:space="preserve">8 UE</w:t>
            </w:r>
          </w:p>
        </w:tc>
        <w:tc>
          <w:tcPr>
            <w:tcW w:type="dxa" w:w="13238"/>
            <w:tcBorders>
              <w:top w:val="single" w:color="0066AA" w:sz="4"/>
              <w:left w:val="single" w:color="0066AA" w:sz="4"/>
              <w:bottom w:val="single" w:color="0066AA" w:sz="4"/>
              <w:right w:val="single" w:color="0066AA" w:sz="4"/>
            </w:tcBorders>
            <w:shd w:fill="D6E4F0" w:val="clear"/>
            <w:tcMar>
              <w:top w:type="dxa" w:w="70"/>
              <w:left w:type="dxa" w:w="130"/>
              <w:bottom w:type="dxa" w:w="70"/>
              <w:right w:type="dxa" w:w="120"/>
            </w:tcMar>
          </w:tcPr>
          <w:p>
            <w:r>
              <w:rPr>
                <w:rFonts w:ascii="Calibri" w:cs="Calibri" w:eastAsia="Calibri" w:hAnsi="Calibri"/>
                <w:b/>
                <w:bCs/>
                <w:color w:val="003366"/>
                <w:sz w:val="22"/>
                <w:szCs w:val="22"/>
              </w:rPr>
              <w:t xml:space="preserve">Gruppenarbeit Teil 1</w:t>
            </w:r>
          </w:p>
        </w:tc>
      </w:tr>
    </w:tbl>
    <w:p>
      <w:pPr>
        <w:spacing w:after="80" w:before="0"/>
      </w:pPr>
      <w:r>
        <w:t xml:space="preserve"/>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5500"/>
        <w:gridCol w:w="4500"/>
        <w:gridCol w:w="4838"/>
      </w:tblGrid>
      <w:tr>
        <w:trPr>
          <w:tblHeader/>
        </w:trPr>
        <w:tc>
          <w:tcPr>
            <w:tcW w:type="dxa" w:w="5500"/>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Inhalte</w:t>
            </w:r>
          </w:p>
        </w:tc>
        <w:tc>
          <w:tcPr>
            <w:tcW w:type="dxa" w:w="4500"/>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Material</w:t>
            </w:r>
          </w:p>
        </w:tc>
        <w:tc>
          <w:tcPr>
            <w:tcW w:type="dxa" w:w="4838"/>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Methode</w:t>
            </w:r>
          </w:p>
        </w:tc>
      </w:tr>
      <w:tr>
        <w:tc>
          <w:tcPr>
            <w:tcW w:type="dxa" w:w="55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 Auftrag und Gruppenbildung, Profilverteilung
• Schritt 1–4: Unternehmen, Assets, Bedrohungen, Schutzbedarf
• Zwischenstand im Plenum: typische Stolpersteine</w:t>
            </w:r>
          </w:p>
        </w:tc>
        <w:tc>
          <w:tcPr>
            <w:tcW w:type="dxa" w:w="45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 GA_Aufgabenblatt
• GA_Firmenprofile
• GA_Sicherheitsleitlinien
• Arbeitshilfe Schadensszenarien</w:t>
            </w:r>
          </w:p>
        </w:tc>
        <w:tc>
          <w:tcPr>
            <w:tcW w:type="dxa" w:w="48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Gruppenarbeit mit Lernbegleitung, Zwischenpräsentation</w:t>
            </w:r>
          </w:p>
        </w:tc>
      </w:tr>
    </w:tbl>
    <w:p>
      <w:pPr>
        <w:spacing w:after="80" w:before="0"/>
      </w:pPr>
      <w:r>
        <w:t xml:space="preserve"/>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1600"/>
        <w:gridCol w:w="13238"/>
      </w:tblGrid>
      <w:tr>
        <w:tc>
          <w:tcPr>
            <w:tcW w:type="dxa" w:w="1600"/>
            <w:tcBorders>
              <w:top w:val="single" w:color="0066AA" w:sz="4"/>
              <w:left w:val="single" w:color="0066AA" w:sz="4"/>
              <w:bottom w:val="single" w:color="0066AA" w:sz="4"/>
              <w:right w:val="single" w:color="0066AA" w:sz="4"/>
            </w:tcBorders>
            <w:shd w:fill="0066AA" w:val="clear"/>
            <w:tcMar>
              <w:top w:type="dxa" w:w="70"/>
              <w:left w:type="dxa" w:w="120"/>
              <w:bottom w:type="dxa" w:w="70"/>
              <w:right w:type="dxa" w:w="100"/>
            </w:tcMar>
          </w:tcPr>
          <w:p>
            <w:r>
              <w:rPr>
                <w:rFonts w:ascii="Calibri" w:cs="Calibri" w:eastAsia="Calibri" w:hAnsi="Calibri"/>
                <w:b/>
                <w:bCs/>
                <w:color w:val="FFFFFF"/>
                <w:sz w:val="22"/>
                <w:szCs w:val="22"/>
              </w:rPr>
              <w:t xml:space="preserve">Tag 8</w:t>
            </w:r>
          </w:p>
          <w:p>
            <w:r>
              <w:rPr>
                <w:rFonts w:ascii="Calibri" w:cs="Calibri" w:eastAsia="Calibri" w:hAnsi="Calibri"/>
                <w:color w:val="FFFFFF"/>
                <w:sz w:val="17"/>
                <w:szCs w:val="17"/>
              </w:rPr>
              <w:t xml:space="preserve">8 UE</w:t>
            </w:r>
          </w:p>
        </w:tc>
        <w:tc>
          <w:tcPr>
            <w:tcW w:type="dxa" w:w="13238"/>
            <w:tcBorders>
              <w:top w:val="single" w:color="0066AA" w:sz="4"/>
              <w:left w:val="single" w:color="0066AA" w:sz="4"/>
              <w:bottom w:val="single" w:color="0066AA" w:sz="4"/>
              <w:right w:val="single" w:color="0066AA" w:sz="4"/>
            </w:tcBorders>
            <w:shd w:fill="D6E4F0" w:val="clear"/>
            <w:tcMar>
              <w:top w:type="dxa" w:w="70"/>
              <w:left w:type="dxa" w:w="130"/>
              <w:bottom w:type="dxa" w:w="70"/>
              <w:right w:type="dxa" w:w="120"/>
            </w:tcMar>
          </w:tcPr>
          <w:p>
            <w:r>
              <w:rPr>
                <w:rFonts w:ascii="Calibri" w:cs="Calibri" w:eastAsia="Calibri" w:hAnsi="Calibri"/>
                <w:b/>
                <w:bCs/>
                <w:color w:val="003366"/>
                <w:sz w:val="22"/>
                <w:szCs w:val="22"/>
              </w:rPr>
              <w:t xml:space="preserve">Gruppenarbeit Teil 2 und Präsentationen</w:t>
            </w:r>
          </w:p>
        </w:tc>
      </w:tr>
    </w:tbl>
    <w:p>
      <w:pPr>
        <w:spacing w:after="80" w:before="0"/>
      </w:pPr>
      <w:r>
        <w:t xml:space="preserve"/>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5500"/>
        <w:gridCol w:w="4500"/>
        <w:gridCol w:w="4838"/>
      </w:tblGrid>
      <w:tr>
        <w:trPr>
          <w:tblHeader/>
        </w:trPr>
        <w:tc>
          <w:tcPr>
            <w:tcW w:type="dxa" w:w="5500"/>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Inhalte</w:t>
            </w:r>
          </w:p>
        </w:tc>
        <w:tc>
          <w:tcPr>
            <w:tcW w:type="dxa" w:w="4500"/>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Material</w:t>
            </w:r>
          </w:p>
        </w:tc>
        <w:tc>
          <w:tcPr>
            <w:tcW w:type="dxa" w:w="4838"/>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Methode</w:t>
            </w:r>
          </w:p>
        </w:tc>
      </w:tr>
      <w:tr>
        <w:tc>
          <w:tcPr>
            <w:tcW w:type="dxa" w:w="55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 Schritt 5–8: Risiken, Maßnahmen, Recht, Präsentation
• Präsentation der Gruppenergebnisse
• Vergleich der Profile: unterschiedliche Schutzziele dominieren
• Kollektive Rückmeldung nach den Präsentations-Guidelines</w:t>
            </w:r>
          </w:p>
        </w:tc>
        <w:tc>
          <w:tcPr>
            <w:tcW w:type="dxa" w:w="45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 GA_Aufgabenblatt
• GA_Bewertungsbogen
• Präsentations-Guidelines</w:t>
            </w:r>
          </w:p>
        </w:tc>
        <w:tc>
          <w:tcPr>
            <w:tcW w:type="dxa" w:w="48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Gruppenarbeit, Präsentationen mit Peer-Feedback, Auswertung im Plenum</w:t>
            </w:r>
          </w:p>
        </w:tc>
      </w:tr>
    </w:tbl>
    <w:p>
      <w:pPr>
        <w:spacing w:after="80" w:before="0"/>
      </w:pPr>
      <w:r>
        <w:t xml:space="preserve"/>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1600"/>
        <w:gridCol w:w="13238"/>
      </w:tblGrid>
      <w:tr>
        <w:tc>
          <w:tcPr>
            <w:tcW w:type="dxa" w:w="1600"/>
            <w:tcBorders>
              <w:top w:val="single" w:color="0066AA" w:sz="4"/>
              <w:left w:val="single" w:color="0066AA" w:sz="4"/>
              <w:bottom w:val="single" w:color="0066AA" w:sz="4"/>
              <w:right w:val="single" w:color="0066AA" w:sz="4"/>
            </w:tcBorders>
            <w:shd w:fill="0066AA" w:val="clear"/>
            <w:tcMar>
              <w:top w:type="dxa" w:w="70"/>
              <w:left w:type="dxa" w:w="120"/>
              <w:bottom w:type="dxa" w:w="70"/>
              <w:right w:type="dxa" w:w="100"/>
            </w:tcMar>
          </w:tcPr>
          <w:p>
            <w:r>
              <w:rPr>
                <w:rFonts w:ascii="Calibri" w:cs="Calibri" w:eastAsia="Calibri" w:hAnsi="Calibri"/>
                <w:b/>
                <w:bCs/>
                <w:color w:val="FFFFFF"/>
                <w:sz w:val="22"/>
                <w:szCs w:val="22"/>
              </w:rPr>
              <w:t xml:space="preserve">Tag 9</w:t>
            </w:r>
          </w:p>
          <w:p>
            <w:r>
              <w:rPr>
                <w:rFonts w:ascii="Calibri" w:cs="Calibri" w:eastAsia="Calibri" w:hAnsi="Calibri"/>
                <w:color w:val="FFFFFF"/>
                <w:sz w:val="17"/>
                <w:szCs w:val="17"/>
              </w:rPr>
              <w:t xml:space="preserve">8 UE</w:t>
            </w:r>
          </w:p>
        </w:tc>
        <w:tc>
          <w:tcPr>
            <w:tcW w:type="dxa" w:w="13238"/>
            <w:tcBorders>
              <w:top w:val="single" w:color="0066AA" w:sz="4"/>
              <w:left w:val="single" w:color="0066AA" w:sz="4"/>
              <w:bottom w:val="single" w:color="0066AA" w:sz="4"/>
              <w:right w:val="single" w:color="0066AA" w:sz="4"/>
            </w:tcBorders>
            <w:shd w:fill="D6E4F0" w:val="clear"/>
            <w:tcMar>
              <w:top w:type="dxa" w:w="70"/>
              <w:left w:type="dxa" w:w="130"/>
              <w:bottom w:type="dxa" w:w="70"/>
              <w:right w:type="dxa" w:w="120"/>
            </w:tcMar>
          </w:tcPr>
          <w:p>
            <w:r>
              <w:rPr>
                <w:rFonts w:ascii="Calibri" w:cs="Calibri" w:eastAsia="Calibri" w:hAnsi="Calibri"/>
                <w:b/>
                <w:bCs/>
                <w:color w:val="003366"/>
                <w:sz w:val="22"/>
                <w:szCs w:val="22"/>
              </w:rPr>
              <w:t xml:space="preserve">Wiederholung und Lernzielkontrolle</w:t>
            </w:r>
          </w:p>
        </w:tc>
      </w:tr>
    </w:tbl>
    <w:p>
      <w:pPr>
        <w:spacing w:after="80" w:before="0"/>
      </w:pPr>
      <w:r>
        <w:t xml:space="preserve"/>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5500"/>
        <w:gridCol w:w="4500"/>
        <w:gridCol w:w="4838"/>
      </w:tblGrid>
      <w:tr>
        <w:trPr>
          <w:tblHeader/>
        </w:trPr>
        <w:tc>
          <w:tcPr>
            <w:tcW w:type="dxa" w:w="5500"/>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Inhalte</w:t>
            </w:r>
          </w:p>
        </w:tc>
        <w:tc>
          <w:tcPr>
            <w:tcW w:type="dxa" w:w="4500"/>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Material</w:t>
            </w:r>
          </w:p>
        </w:tc>
        <w:tc>
          <w:tcPr>
            <w:tcW w:type="dxa" w:w="4838"/>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Methode</w:t>
            </w:r>
          </w:p>
        </w:tc>
      </w:tr>
      <w:tr>
        <w:tc>
          <w:tcPr>
            <w:tcW w:type="dxa" w:w="55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 Wiederholung anhand des interaktiven Lerntools
• Offene Fragen klären
• Lernzielkontrolle, 90 Minuten
• Besprechung der Ergebnisse, Bezug zur Abschlussprüfung</w:t>
            </w:r>
          </w:p>
        </w:tc>
        <w:tc>
          <w:tcPr>
            <w:tcW w:type="dxa" w:w="45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 Interaktives Lerntool
• LZK Aufgabenteil
• Lernzettel</w:t>
            </w:r>
          </w:p>
        </w:tc>
        <w:tc>
          <w:tcPr>
            <w:tcW w:type="dxa" w:w="48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Selbstlernphase, schriftliche Leistungskontrolle, Auswertung</w:t>
            </w:r>
          </w:p>
        </w:tc>
      </w:tr>
    </w:tbl>
    <w:p>
      <w:pPr>
        <w:spacing w:after="80" w:before="0"/>
      </w:pPr>
      <w:r>
        <w:t xml:space="preserve"/>
      </w:r>
    </w:p>
    <w:p>
      <w:r>
        <w:br w:type="page"/>
      </w:r>
    </w:p>
    <w:p>
      <w:pPr>
        <w:pStyle w:val="Heading1"/>
        <w:pBdr>
          <w:bottom w:val="single" w:color="0066AA" w:sz="6" w:space="4"/>
        </w:pBdr>
        <w:spacing w:after="80" w:before="260"/>
      </w:pPr>
      <w:r>
        <w:rPr>
          <w:rFonts w:ascii="Calibri" w:cs="Calibri" w:eastAsia="Calibri" w:hAnsi="Calibri"/>
          <w:b/>
          <w:bCs/>
          <w:color w:val="003366"/>
          <w:sz w:val="26"/>
          <w:szCs w:val="26"/>
        </w:rPr>
        <w:t xml:space="preserve">Materialübersicht</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4600"/>
        <w:gridCol w:w="3200"/>
        <w:gridCol w:w="7038"/>
      </w:tblGrid>
      <w:tr>
        <w:trPr>
          <w:tblHeader/>
        </w:trPr>
        <w:tc>
          <w:tcPr>
            <w:tcW w:type="dxa" w:w="4600"/>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Datei</w:t>
            </w:r>
          </w:p>
        </w:tc>
        <w:tc>
          <w:tcPr>
            <w:tcW w:type="dxa" w:w="3200"/>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Typ</w:t>
            </w:r>
          </w:p>
        </w:tc>
        <w:tc>
          <w:tcPr>
            <w:tcW w:type="dxa" w:w="7038"/>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Einsatz</w:t>
            </w:r>
          </w:p>
        </w:tc>
      </w:tr>
      <w:tr>
        <w:tc>
          <w:tcPr>
            <w:tcW w:type="dxa" w:w="46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LF4_Einfuehrung_final.pptx</w:t>
            </w:r>
          </w:p>
        </w:tc>
        <w:tc>
          <w:tcPr>
            <w:tcW w:type="dxa" w:w="32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Präsentation</w:t>
            </w:r>
          </w:p>
        </w:tc>
        <w:tc>
          <w:tcPr>
            <w:tcW w:type="dxa" w:w="70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Tage 1, 2, 5, 6 – Haupteinstieg ins Lernfeld</w:t>
            </w:r>
          </w:p>
        </w:tc>
      </w:tr>
      <w:tr>
        <w:tc>
          <w:tcPr>
            <w:tcW w:type="dxa" w:w="46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LF4_Handout_v2.docx</w:t>
            </w:r>
          </w:p>
        </w:tc>
        <w:tc>
          <w:tcPr>
            <w:tcW w:type="dxa" w:w="32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Handout</w:t>
            </w:r>
          </w:p>
        </w:tc>
        <w:tc>
          <w:tcPr>
            <w:tcW w:type="dxa" w:w="7038"/>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Begleitend zur Einführungspräsentation</w:t>
            </w:r>
          </w:p>
        </w:tc>
      </w:tr>
      <w:tr>
        <w:tc>
          <w:tcPr>
            <w:tcW w:type="dxa" w:w="46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LF4_Lernzettel_v2.docx</w:t>
            </w:r>
          </w:p>
        </w:tc>
        <w:tc>
          <w:tcPr>
            <w:tcW w:type="dxa" w:w="32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Nachschlagewerk</w:t>
            </w:r>
          </w:p>
        </w:tc>
        <w:tc>
          <w:tcPr>
            <w:tcW w:type="dxa" w:w="70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Durchgehend, auch zur Prüfungsvorbereitung</w:t>
            </w:r>
          </w:p>
        </w:tc>
      </w:tr>
      <w:tr>
        <w:tc>
          <w:tcPr>
            <w:tcW w:type="dxa" w:w="46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FW_DMZ_Proxy.pptx</w:t>
            </w:r>
          </w:p>
        </w:tc>
        <w:tc>
          <w:tcPr>
            <w:tcW w:type="dxa" w:w="32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Präsentation</w:t>
            </w:r>
          </w:p>
        </w:tc>
        <w:tc>
          <w:tcPr>
            <w:tcW w:type="dxa" w:w="7038"/>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Tag 4 – Netzwerkschutz</w:t>
            </w:r>
          </w:p>
        </w:tc>
      </w:tr>
      <w:tr>
        <w:tc>
          <w:tcPr>
            <w:tcW w:type="dxa" w:w="46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FW_DMZ_Proxy_Handout.docx</w:t>
            </w:r>
          </w:p>
        </w:tc>
        <w:tc>
          <w:tcPr>
            <w:tcW w:type="dxa" w:w="32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Handout</w:t>
            </w:r>
          </w:p>
        </w:tc>
        <w:tc>
          <w:tcPr>
            <w:tcW w:type="dxa" w:w="70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Begleitend zu Tag 4</w:t>
            </w:r>
          </w:p>
        </w:tc>
      </w:tr>
      <w:tr>
        <w:tc>
          <w:tcPr>
            <w:tcW w:type="dxa" w:w="46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DS_Aktuelle_Themen.pptx</w:t>
            </w:r>
          </w:p>
        </w:tc>
        <w:tc>
          <w:tcPr>
            <w:tcW w:type="dxa" w:w="32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Präsentation</w:t>
            </w:r>
          </w:p>
        </w:tc>
        <w:tc>
          <w:tcPr>
            <w:tcW w:type="dxa" w:w="7038"/>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Tag 5 – aktuelle Entwicklungen</w:t>
            </w:r>
          </w:p>
        </w:tc>
      </w:tr>
      <w:tr>
        <w:tc>
          <w:tcPr>
            <w:tcW w:type="dxa" w:w="46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DS_Aktuelle_Themen_Handout.docx</w:t>
            </w:r>
          </w:p>
        </w:tc>
        <w:tc>
          <w:tcPr>
            <w:tcW w:type="dxa" w:w="32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Handout</w:t>
            </w:r>
          </w:p>
        </w:tc>
        <w:tc>
          <w:tcPr>
            <w:tcW w:type="dxa" w:w="70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Begleitend zu Tag 5, auch als Selbstlernauftrag</w:t>
            </w:r>
          </w:p>
        </w:tc>
      </w:tr>
      <w:tr>
        <w:tc>
          <w:tcPr>
            <w:tcW w:type="dxa" w:w="46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Betroffenenrechte_1Seiter.docx</w:t>
            </w:r>
          </w:p>
        </w:tc>
        <w:tc>
          <w:tcPr>
            <w:tcW w:type="dxa" w:w="32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Merkblatt</w:t>
            </w:r>
          </w:p>
        </w:tc>
        <w:tc>
          <w:tcPr>
            <w:tcW w:type="dxa" w:w="7038"/>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Tag 3 – zum Aushängen und Mitnehmen</w:t>
            </w:r>
          </w:p>
        </w:tc>
      </w:tr>
      <w:tr>
        <w:tc>
          <w:tcPr>
            <w:tcW w:type="dxa" w:w="46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Abkuerzungsverzeichnis_LF4.docx</w:t>
            </w:r>
          </w:p>
        </w:tc>
        <w:tc>
          <w:tcPr>
            <w:tcW w:type="dxa" w:w="32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Referenz</w:t>
            </w:r>
          </w:p>
        </w:tc>
        <w:tc>
          <w:tcPr>
            <w:tcW w:type="dxa" w:w="70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Durchgehend als Nachschlagehilfe</w:t>
            </w:r>
          </w:p>
        </w:tc>
      </w:tr>
      <w:tr>
        <w:tc>
          <w:tcPr>
            <w:tcW w:type="dxa" w:w="46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LF4_GA_Aufgabenblatt.docx</w:t>
            </w:r>
          </w:p>
        </w:tc>
        <w:tc>
          <w:tcPr>
            <w:tcW w:type="dxa" w:w="32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Arbeitsblatt</w:t>
            </w:r>
          </w:p>
        </w:tc>
        <w:tc>
          <w:tcPr>
            <w:tcW w:type="dxa" w:w="7038"/>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Tage 7 und 8 – Gruppenarbeit</w:t>
            </w:r>
          </w:p>
        </w:tc>
      </w:tr>
      <w:tr>
        <w:tc>
          <w:tcPr>
            <w:tcW w:type="dxa" w:w="46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LF4_GA_Firmenprofile.docx</w:t>
            </w:r>
          </w:p>
        </w:tc>
        <w:tc>
          <w:tcPr>
            <w:tcW w:type="dxa" w:w="32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Szenarien</w:t>
            </w:r>
          </w:p>
        </w:tc>
        <w:tc>
          <w:tcPr>
            <w:tcW w:type="dxa" w:w="70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Tag 7 – je ein Profil pro Gruppe</w:t>
            </w:r>
          </w:p>
        </w:tc>
      </w:tr>
      <w:tr>
        <w:tc>
          <w:tcPr>
            <w:tcW w:type="dxa" w:w="46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LF4_GA_Sicherheitsleitlinien.docx</w:t>
            </w:r>
          </w:p>
        </w:tc>
        <w:tc>
          <w:tcPr>
            <w:tcW w:type="dxa" w:w="32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Szenarien</w:t>
            </w:r>
          </w:p>
        </w:tc>
        <w:tc>
          <w:tcPr>
            <w:tcW w:type="dxa" w:w="7038"/>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Tag 7 – Leitlinie passend zum Profil</w:t>
            </w:r>
          </w:p>
        </w:tc>
      </w:tr>
      <w:tr>
        <w:tc>
          <w:tcPr>
            <w:tcW w:type="dxa" w:w="46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LF4_IT-Sicherheitsleitlinie_MedZentrum.docx</w:t>
            </w:r>
          </w:p>
        </w:tc>
        <w:tc>
          <w:tcPr>
            <w:tcW w:type="dxa" w:w="32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Referenzdokument</w:t>
            </w:r>
          </w:p>
        </w:tc>
        <w:tc>
          <w:tcPr>
            <w:tcW w:type="dxa" w:w="70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Tage 3 und 6 – Analysegrundlage</w:t>
            </w:r>
          </w:p>
        </w:tc>
      </w:tr>
      <w:tr>
        <w:tc>
          <w:tcPr>
            <w:tcW w:type="dxa" w:w="46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LF4_Schadensszenarien.docx</w:t>
            </w:r>
          </w:p>
        </w:tc>
        <w:tc>
          <w:tcPr>
            <w:tcW w:type="dxa" w:w="32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Arbeitshilfe</w:t>
            </w:r>
          </w:p>
        </w:tc>
        <w:tc>
          <w:tcPr>
            <w:tcW w:type="dxa" w:w="7038"/>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Tag 6 – Bewertungsmatrix nach BSI</w:t>
            </w:r>
          </w:p>
        </w:tc>
      </w:tr>
      <w:tr>
        <w:tc>
          <w:tcPr>
            <w:tcW w:type="dxa" w:w="46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LF4_GA_Erwartungshorizont.docx</w:t>
            </w:r>
          </w:p>
        </w:tc>
        <w:tc>
          <w:tcPr>
            <w:tcW w:type="dxa" w:w="32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Dozentenmaterial</w:t>
            </w:r>
          </w:p>
        </w:tc>
        <w:tc>
          <w:tcPr>
            <w:tcW w:type="dxa" w:w="70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Vorbereitung und Auswertung der Gruppenarbeit</w:t>
            </w:r>
          </w:p>
        </w:tc>
      </w:tr>
      <w:tr>
        <w:tc>
          <w:tcPr>
            <w:tcW w:type="dxa" w:w="46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LF4_GA_Bewertungsbogen.docx</w:t>
            </w:r>
          </w:p>
        </w:tc>
        <w:tc>
          <w:tcPr>
            <w:tcW w:type="dxa" w:w="32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Dozentenmaterial</w:t>
            </w:r>
          </w:p>
        </w:tc>
        <w:tc>
          <w:tcPr>
            <w:tcW w:type="dxa" w:w="7038"/>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Tag 8 – Bewertung der Präsentationen</w:t>
            </w:r>
          </w:p>
        </w:tc>
      </w:tr>
      <w:tr>
        <w:tc>
          <w:tcPr>
            <w:tcW w:type="dxa" w:w="46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LF4_Lerntool.html</w:t>
            </w:r>
          </w:p>
        </w:tc>
        <w:tc>
          <w:tcPr>
            <w:tcW w:type="dxa" w:w="32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Selbstlerntool</w:t>
            </w:r>
          </w:p>
        </w:tc>
        <w:tc>
          <w:tcPr>
            <w:tcW w:type="dxa" w:w="70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Tage 6 und 9 sowie zum eigenständigen Üben</w:t>
            </w:r>
          </w:p>
        </w:tc>
      </w:tr>
      <w:tr>
        <w:tc>
          <w:tcPr>
            <w:tcW w:type="dxa" w:w="46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LF4_LZK_Aufgaben.docx</w:t>
            </w:r>
          </w:p>
        </w:tc>
        <w:tc>
          <w:tcPr>
            <w:tcW w:type="dxa" w:w="32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Leistungskontrolle</w:t>
            </w:r>
          </w:p>
        </w:tc>
        <w:tc>
          <w:tcPr>
            <w:tcW w:type="dxa" w:w="7038"/>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Tag 9 – 90 Minuten, 100 Punkte</w:t>
            </w:r>
          </w:p>
        </w:tc>
      </w:tr>
      <w:tr>
        <w:tc>
          <w:tcPr>
            <w:tcW w:type="dxa" w:w="46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LF4_LZK_Musterloesung.docx</w:t>
            </w:r>
          </w:p>
        </w:tc>
        <w:tc>
          <w:tcPr>
            <w:tcW w:type="dxa" w:w="32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Dozentenmaterial</w:t>
            </w:r>
          </w:p>
        </w:tc>
        <w:tc>
          <w:tcPr>
            <w:tcW w:type="dxa" w:w="70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Korrektur der Lernzielkontrolle</w:t>
            </w:r>
          </w:p>
        </w:tc>
      </w:tr>
    </w:tbl>
    <w:p>
      <w:pPr>
        <w:spacing w:after="80" w:before="0"/>
      </w:pPr>
      <w:r>
        <w:t xml:space="preserve"/>
      </w:r>
    </w:p>
    <w:p>
      <w:pPr>
        <w:pStyle w:val="Heading1"/>
        <w:pBdr>
          <w:bottom w:val="single" w:color="0066AA" w:sz="6" w:space="4"/>
        </w:pBdr>
        <w:spacing w:after="80" w:before="260"/>
      </w:pPr>
      <w:r>
        <w:rPr>
          <w:rFonts w:ascii="Calibri" w:cs="Calibri" w:eastAsia="Calibri" w:hAnsi="Calibri"/>
          <w:b/>
          <w:bCs/>
          <w:color w:val="003366"/>
          <w:sz w:val="26"/>
          <w:szCs w:val="26"/>
        </w:rPr>
        <w:t xml:space="preserve">Bezug zur Abschlussprüfung</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3400"/>
        <w:gridCol w:w="11438"/>
      </w:tblGrid>
      <w:tr>
        <w:trPr>
          <w:tblHeader/>
        </w:trPr>
        <w:tc>
          <w:tcPr>
            <w:tcW w:type="dxa" w:w="3400"/>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Prüfungsteil</w:t>
            </w:r>
          </w:p>
        </w:tc>
        <w:tc>
          <w:tcPr>
            <w:tcW w:type="dxa" w:w="11438"/>
            <w:tcBorders>
              <w:top w:val="single" w:color="999999" w:sz="4"/>
              <w:left w:val="single" w:color="999999" w:sz="4"/>
              <w:bottom w:val="single" w:color="999999" w:sz="4"/>
              <w:right w:val="single" w:color="999999" w:sz="4"/>
            </w:tcBorders>
            <w:shd w:fill="003366" w:val="clear"/>
            <w:tcMar>
              <w:top w:type="dxa" w:w="60"/>
              <w:left w:type="dxa" w:w="100"/>
              <w:bottom w:type="dxa" w:w="60"/>
              <w:right w:type="dxa" w:w="100"/>
            </w:tcMar>
          </w:tcPr>
          <w:p>
            <w:r>
              <w:rPr>
                <w:rFonts w:ascii="Calibri" w:cs="Calibri" w:eastAsia="Calibri" w:hAnsi="Calibri"/>
                <w:b/>
                <w:bCs/>
                <w:color w:val="FFFFFF"/>
                <w:sz w:val="18"/>
                <w:szCs w:val="18"/>
              </w:rPr>
              <w:t xml:space="preserve">Relevante Inhalte aus LF 4</w:t>
            </w:r>
          </w:p>
        </w:tc>
      </w:tr>
      <w:tr>
        <w:tc>
          <w:tcPr>
            <w:tcW w:type="dxa" w:w="34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AP1</w:t>
            </w:r>
          </w:p>
        </w:tc>
        <w:tc>
          <w:tcPr>
            <w:tcW w:type="dxa" w:w="114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Schutzziele, Bedrohungen, grundlegende Schutzmaßnahmen, Datenschutz</w:t>
            </w:r>
          </w:p>
        </w:tc>
      </w:tr>
      <w:tr>
        <w:tc>
          <w:tcPr>
            <w:tcW w:type="dxa" w:w="34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AP2 Fachqualifikationen</w:t>
            </w:r>
          </w:p>
        </w:tc>
        <w:tc>
          <w:tcPr>
            <w:tcW w:type="dxa" w:w="11438"/>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Schutzbedarfsanalyse, TOM, Netzwerksicherheit, DMZ und Firewall</w:t>
            </w:r>
          </w:p>
        </w:tc>
      </w:tr>
      <w:tr>
        <w:tc>
          <w:tcPr>
            <w:tcW w:type="dxa" w:w="3400"/>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AP2 WiSo</w:t>
            </w:r>
          </w:p>
        </w:tc>
        <w:tc>
          <w:tcPr>
            <w:tcW w:type="dxa" w:w="11438"/>
            <w:tcBorders>
              <w:top w:val="single" w:color="CCCCCC" w:sz="4"/>
              <w:left w:val="single" w:color="CCCCCC" w:sz="4"/>
              <w:bottom w:val="single" w:color="CCCCCC" w:sz="4"/>
              <w:right w:val="single" w:color="CCCCCC" w:sz="4"/>
            </w:tcBorders>
            <w:shd w:fill="F5F9FC" w:val="clear"/>
            <w:tcMar>
              <w:top w:type="dxa" w:w="60"/>
              <w:left w:type="dxa" w:w="100"/>
              <w:bottom w:type="dxa" w:w="60"/>
              <w:right w:type="dxa" w:w="100"/>
            </w:tcMar>
          </w:tcPr>
          <w:p>
            <w:r>
              <w:rPr>
                <w:rFonts w:ascii="Calibri" w:cs="Calibri" w:eastAsia="Calibri" w:hAnsi="Calibri"/>
                <w:color w:val="595959"/>
                <w:sz w:val="18"/>
                <w:szCs w:val="18"/>
              </w:rPr>
              <w:t xml:space="preserve">DSGVO, Betroffenenrechte, Meldepflichten, rechtlicher Rahmen</w:t>
            </w:r>
          </w:p>
        </w:tc>
      </w:tr>
      <w:tr>
        <w:tc>
          <w:tcPr>
            <w:tcW w:type="dxa" w:w="3400"/>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Betrieblicher Auftrag</w:t>
            </w:r>
          </w:p>
        </w:tc>
        <w:tc>
          <w:tcPr>
            <w:tcW w:type="dxa" w:w="11438"/>
            <w:tcBorders>
              <w:top w:val="single" w:color="CCCCCC" w:sz="4"/>
              <w:left w:val="single" w:color="CCCCCC" w:sz="4"/>
              <w:bottom w:val="single" w:color="CCCCCC" w:sz="4"/>
              <w:right w:val="single" w:color="CCCCCC" w:sz="4"/>
            </w:tcBorders>
            <w:shd w:fill="FFFFFF" w:val="clear"/>
            <w:tcMar>
              <w:top w:type="dxa" w:w="60"/>
              <w:left w:type="dxa" w:w="100"/>
              <w:bottom w:type="dxa" w:w="60"/>
              <w:right w:type="dxa" w:w="100"/>
            </w:tcMar>
          </w:tcPr>
          <w:p>
            <w:r>
              <w:rPr>
                <w:rFonts w:ascii="Calibri" w:cs="Calibri" w:eastAsia="Calibri" w:hAnsi="Calibri"/>
                <w:color w:val="595959"/>
                <w:sz w:val="18"/>
                <w:szCs w:val="18"/>
              </w:rPr>
              <w:t xml:space="preserve">Methodik der Schutzbedarfsanalyse ist direkt übertragbar</w:t>
            </w:r>
          </w:p>
        </w:tc>
      </w:tr>
    </w:tbl>
    <w:sectPr>
      <w:headerReference w:type="default" r:id="rId7"/>
      <w:footerReference w:type="default" r:id="rId8"/>
      <w:pgSz w:w="11906" w:h="16838" w:orient="landscape"/>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066AA" w:sz="6" w:space="4"/>
      </w:pBdr>
      <w:tabs>
        <w:tab w:val="right" w:pos="14838"/>
      </w:tabs>
    </w:pPr>
    <w:r>
      <w:rPr>
        <w:rFonts w:ascii="Calibri" w:cs="Calibri" w:eastAsia="Calibri" w:hAnsi="Calibri"/>
        <w:color w:val="595959"/>
        <w:sz w:val="17"/>
        <w:szCs w:val="17"/>
      </w:rPr>
      <w:t xml:space="preserve">bfw – Unternehmen für Bildung  ·  Standort Lübeck</w:t>
    </w:r>
    <w:r>
      <w:rPr>
        <w:rFonts w:ascii="Calibri" w:cs="Calibri" w:eastAsia="Calibri" w:hAnsi="Calibri"/>
        <w:sz w:val="17"/>
        <w:szCs w:val="17"/>
      </w:rPr>
      <w:t xml:space="preserve">	</w:t>
    </w:r>
    <w:r>
      <w:rPr>
        <w:rFonts w:ascii="Calibri" w:cs="Calibri" w:eastAsia="Calibri" w:hAnsi="Calibri"/>
        <w:color w:val="595959"/>
        <w:sz w:val="17"/>
        <w:szCs w:val="17"/>
      </w:rPr>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66AA" w:sz="6" w:space="4"/>
      </w:pBdr>
      <w:tabs>
        <w:tab w:val="right" w:pos="14838"/>
      </w:tabs>
    </w:pPr>
    <w:r>
      <w:rPr>
        <w:rFonts w:ascii="Calibri" w:cs="Calibri" w:eastAsia="Calibri" w:hAnsi="Calibri"/>
        <w:b/>
        <w:bCs/>
        <w:color w:val="003366"/>
        <w:sz w:val="17"/>
        <w:szCs w:val="17"/>
      </w:rPr>
      <w:t xml:space="preserve">Verlaufsplanung LF 4</w:t>
    </w:r>
    <w:r>
      <w:rPr>
        <w:rFonts w:ascii="Calibri" w:cs="Calibri" w:eastAsia="Calibri" w:hAnsi="Calibri"/>
        <w:sz w:val="17"/>
        <w:szCs w:val="17"/>
      </w:rPr>
      <w:t xml:space="preserve">	</w:t>
    </w:r>
    <w:r>
      <w:rPr>
        <w:rFonts w:ascii="Calibri" w:cs="Calibri" w:eastAsia="Calibri" w:hAnsi="Calibri"/>
        <w:color w:val="595959"/>
        <w:sz w:val="17"/>
        <w:szCs w:val="17"/>
      </w:rPr>
      <w:t xml:space="preserve">Schutzbedarfsanalyse  ·  FIAE &amp; FISI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40" w:hanging="320"/>
      </w:pPr>
    </w:lvl>
  </w:abstractNum>
  <w:abstractNum w:abstractNumId="3" w15:restartNumberingAfterBreak="0">
    <w:multiLevelType w:val="hybridMultilevel"/>
    <w:lvl w:ilvl="0" w15:tentative="1">
      <w:start w:val="1"/>
      <w:numFmt w:val="decimal"/>
      <w:lvlText w:val="%1."/>
      <w:lvlJc w:val="left"/>
      <w:pPr>
        <w:ind w:left="640" w:hanging="32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80" w:before="260"/>
      <w:outlineLvl w:val="0"/>
    </w:pPr>
    <w:rPr>
      <w:rFonts w:ascii="Calibri" w:cs="Calibri" w:eastAsia="Calibri" w:hAnsi="Calibri"/>
      <w:b/>
      <w:bCs/>
      <w:color w:val="003366"/>
      <w:sz w:val="26"/>
      <w:szCs w:val="26"/>
    </w:rPr>
  </w:style>
  <w:style w:type="paragraph" w:styleId="Heading2">
    <w:name w:val="Heading 2"/>
    <w:basedOn w:val="Normal"/>
    <w:next w:val="Normal"/>
    <w:qFormat/>
    <w:pPr>
      <w:spacing w:after="60" w:before="180"/>
      <w:outlineLvl w:val="1"/>
    </w:pPr>
    <w:rPr>
      <w:rFonts w:ascii="Calibri" w:cs="Calibri" w:eastAsia="Calibri" w:hAnsi="Calibri"/>
      <w:b/>
      <w:bCs/>
      <w:color w:val="0066A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2026-08-17T12:00:43.816Z</dcterms:created>
  <dcterms:modified xsi:type="dcterms:W3CDTF">2026-08-17T12:00:43.816Z</dcterms:modified>
</cp:coreProperties>
</file>

<file path=docProps/custom.xml><?xml version="1.0" encoding="utf-8"?>
<Properties xmlns="http://schemas.openxmlformats.org/officeDocument/2006/custom-properties" xmlns:vt="http://schemas.openxmlformats.org/officeDocument/2006/docPropsVTypes"/>
</file>