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MedZentrum Lübeck GmbH</w:t>
      </w:r>
    </w:p>
    <w:p>
      <w:pPr>
        <w:spacing w:after="100" w:before="0"/>
        <w:jc w:val="center"/>
      </w:pPr>
      <w:r>
        <w:rPr>
          <w:rFonts w:ascii="Calibri" w:cs="Calibri" w:eastAsia="Calibri" w:hAnsi="Calibri"/>
          <w:color w:val="595959"/>
          <w:sz w:val="17"/>
          <w:szCs w:val="17"/>
        </w:rPr>
        <w:t xml:space="preserve">Ambulantes Gesundheitszentrum  ·  Marlistraße 12  ·  23566 Lübeck</w:t>
      </w:r>
    </w:p>
    <w:p>
      <w:pPr>
        <w:pBdr>
          <w:bottom w:val="single" w:color="0066AA" w:sz="8" w:space="5"/>
        </w:pBdr>
        <w:spacing w:after="6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IT-Sicherheitsleitlinie</w:t>
      </w:r>
    </w:p>
    <w:p>
      <w:pPr>
        <w:spacing w:after="100" w:before="60"/>
        <w:jc w:val="center"/>
      </w:pPr>
      <w:r>
        <w:rPr>
          <w:rFonts w:ascii="Calibri" w:cs="Calibri" w:eastAsia="Calibri" w:hAnsi="Calibri"/>
          <w:color w:val="0066AA"/>
          <w:sz w:val="19"/>
          <w:szCs w:val="19"/>
        </w:rPr>
        <w:t xml:space="preserve">Verbindliche Vorgabe der Geschäftsführung für alle Mitarbeitenden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rPr>
          <w:tblHeader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Dokumentangaben</w:t>
            </w:r>
          </w:p>
        </w:tc>
        <w:tc>
          <w:tcPr>
            <w:tcW w:type="dxa" w:w="71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Dokumentnummer</w:t>
            </w:r>
          </w:p>
        </w:tc>
        <w:tc>
          <w:tcPr>
            <w:tcW w:type="dxa" w:w="7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ISL-2026-001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Version</w:t>
            </w:r>
          </w:p>
        </w:tc>
        <w:tc>
          <w:tcPr>
            <w:tcW w:type="dxa" w:w="7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3.1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Gültig ab</w:t>
            </w:r>
          </w:p>
        </w:tc>
        <w:tc>
          <w:tcPr>
            <w:tcW w:type="dxa" w:w="7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01.01.2026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Nächste Prüfung</w:t>
            </w:r>
          </w:p>
        </w:tc>
        <w:tc>
          <w:tcPr>
            <w:tcW w:type="dxa" w:w="7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31.12.2026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Herausgeber</w:t>
            </w:r>
          </w:p>
        </w:tc>
        <w:tc>
          <w:tcPr>
            <w:tcW w:type="dxa" w:w="7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Geschäftsführung MedZentrum Lübeck GmbH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7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IT-Sicherheitsbeauftragte, externer Datenschutzbeauftragter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Geltungsbereich</w:t>
            </w:r>
          </w:p>
        </w:tc>
        <w:tc>
          <w:tcPr>
            <w:tcW w:type="dxa" w:w="7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 Standorte, alle Mitarbeitenden, alle IT-Systeme und Datenbestände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Einstufung</w:t>
            </w:r>
          </w:p>
        </w:tc>
        <w:tc>
          <w:tcPr>
            <w:tcW w:type="dxa" w:w="7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 – nicht zur Weitergabe an Dritte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FF4D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Hinweis für den Unterricht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Dieses Dokument ist die Sicherheitsleitlinie, gegen die im Lernfeld 4 die Schutzbedarfsanalyse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durchgeführt wird. Der Rahmenlehrplan verlangt ausdrücklich, dass die Analyse gemäß einer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bestehenden IT-Sicherheitsleitlinie erfolgt und die Ergebnisse anschließend mit ihr abgeglichen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werden. Die Leitlinie enthält bewusst einige Vorgaben, die im Betriebsalltag nicht eingehalten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werden – diese Abweichungen sollen in der Analyse gefunden werden.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Zweck und Geltungsbereich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Diese Leitlinie legt die verbindlichen Grundsätze für die Informationssicherheit der MedZentrum Lübeck GmbH fest. Sie gilt für alle Mitarbeitenden, für alle eingesetzten IT-Systeme sowie für alle verarbeiteten Daten, unabhängig von Speicherort und Verarbeitungsform.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1.1  Sicherheitsziele des Unternehmens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 Geschäftsführung verpflichtet sich auf die drei Grundwerte der Informationssicherheit: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6500"/>
        <w:gridCol w:w="1506"/>
      </w:tblGrid>
      <w:tr>
        <w:trPr>
          <w:tblHeader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 für das MedZentrum</w:t>
            </w:r>
          </w:p>
        </w:tc>
        <w:tc>
          <w:tcPr>
            <w:tcW w:type="dxa" w:w="1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Priorität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6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Patientendaten unterliegen der ärztlichen Schweigepflicht nach § 203 StGB und dem besonderen Schutz nach Art. 9 DSGVO. Zugriff ausschließlich für unmittelbar behandelnde Personen.</w:t>
            </w:r>
          </w:p>
        </w:tc>
        <w:tc>
          <w:tcPr>
            <w:tcW w:type="dxa" w:w="1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Höchste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6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Diagnosen, Laborwerte und Medikationspläne müssen jederzeit korrekt und unverfälscht sein. Fehlerhafte Daten können Patientinnen und Patienten unmittelbar gefährden.</w:t>
            </w:r>
          </w:p>
        </w:tc>
        <w:tc>
          <w:tcPr>
            <w:tcW w:type="dxa" w:w="1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Höchste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  <w:tc>
          <w:tcPr>
            <w:tcW w:type="dxa" w:w="6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Das Praxisverwaltungssystem und die Laborsoftware müssen während der Öffnungszeiten verfügbar sein. Für den Ausfall bestehen dokumentierte Ersatzverfahren.</w:t>
            </w:r>
          </w:p>
        </w:tc>
        <w:tc>
          <w:tcPr>
            <w:tcW w:type="dxa" w:w="1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1.2  Angestrebtes Schutzniveau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Das MedZentrum orientiert sich am IT-Grundschutz des Bundesamts für Sicherheit in der Informationstechnik nach BSI-Standard 200-2. Für Systeme mit Bezug zu Gesundheitsdaten gilt ergänzend ein erhöhter Schutzbedarf.</w:t>
      </w:r>
    </w:p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Organisation der Informationssicherheit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906"/>
      </w:tblGrid>
      <w:tr>
        <w:trPr>
          <w:tblHeader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Rolle</w:t>
            </w:r>
          </w:p>
        </w:tc>
        <w:tc>
          <w:tcPr>
            <w:tcW w:type="dxa" w:w="69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Zuständigkeit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Geschäftsführung</w:t>
            </w:r>
          </w:p>
        </w:tc>
        <w:tc>
          <w:tcPr>
            <w:tcW w:type="dxa" w:w="6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Gesamtverantwortung, Freigabe der Leitlinie, Bereitstellung der Mittel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IT-Sicherheitsbeauftragte</w:t>
            </w:r>
          </w:p>
        </w:tc>
        <w:tc>
          <w:tcPr>
            <w:tcW w:type="dxa" w:w="6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Umsetzung und Fortschreibung der Leitlinie, jährliche Schutzbedarfsanalyse, Meldung von Vorfällen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Externer Datenschutzbeauftragter</w:t>
            </w:r>
          </w:p>
        </w:tc>
        <w:tc>
          <w:tcPr>
            <w:tcW w:type="dxa" w:w="6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Überwachung der DSGVO-Konformität, Beratung, Ansprechpartner für Aufsichtsbehörde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Praxisleitungen</w:t>
            </w:r>
          </w:p>
        </w:tc>
        <w:tc>
          <w:tcPr>
            <w:tcW w:type="dxa" w:w="6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Umsetzung in der jeweiligen Fachabteilung, Meldung von Abweichungen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 Mitarbeitenden</w:t>
            </w:r>
          </w:p>
        </w:tc>
        <w:tc>
          <w:tcPr>
            <w:tcW w:type="dxa" w:w="6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Einhaltung dieser Leitlinie, unverzügliche Meldung von Sicherheitsvorfällen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Externer IT-Dienstleister</w:t>
            </w:r>
          </w:p>
        </w:tc>
        <w:tc>
          <w:tcPr>
            <w:tcW w:type="dxa" w:w="6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Betrieb und Wartung nach Auftragsverarbeitungsvertrag, Rufbereitschaft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Klassifizierung von Informationen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Alle Informationen des MedZentrums werden einer der folgenden vier Stufen zugeordnet. Die Einstufung bestimmt den erforderlichen Schutz.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100"/>
        <w:gridCol w:w="3400"/>
        <w:gridCol w:w="3706"/>
      </w:tblGrid>
      <w:tr>
        <w:trPr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Stufe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Bezeichnung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Beispiele</w:t>
            </w:r>
          </w:p>
        </w:tc>
        <w:tc>
          <w:tcPr>
            <w:tcW w:type="dxa" w:w="37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Anforderungen</w:t>
            </w:r>
          </w:p>
        </w:tc>
      </w:tr>
      <w:tr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Streng vertraulich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Psychiatrische Diagnosen, HIV-Status, genetische Befunde, Suchtanamnesen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Verschlüsselte Speicherung, Zugriff nur behandelnde Person, jeder Zugriff protokolliert, kein Versand per E-Mail</w:t>
            </w:r>
          </w:p>
        </w:tc>
      </w:tr>
      <w:tr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Patientenstammdaten, Laborbefunde, Abrechnungsdaten, Personalakten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Verschlüsselte Speicherung, rollenbasierter Zugriff, Versand nur verschlüsselt</w:t>
            </w:r>
          </w:p>
        </w:tc>
      </w:tr>
      <w:tr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Terminplanung, Dienstpläne, interne Anweisungen, Bestellwesen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Zugriff für Mitarbeitende, keine Weitergabe nach außen</w:t>
            </w:r>
          </w:p>
        </w:tc>
      </w:tr>
      <w:tr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Öffentlich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Praxisinformationen auf der Website, Öffnungszeiten, Leistungsspektrum</w:t>
            </w:r>
          </w:p>
        </w:tc>
        <w:tc>
          <w:tcPr>
            <w:tcW w:type="dxa" w:w="37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Keine besonderen Anforderungen, Freigabe durch Geschäftsführung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Verbindliche Sicherheitsvorgaben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4.1  Zugangs- und Zugriffskontrolle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Jede Person erhält ein persönliches Benutzerkonto. Sammelkonten sind unzulässig.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Passwörter bestehen aus mindestens zwölf Zeichen und werden nicht mehrfach verwendet.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Der Zugriff auf Patientendaten erfolgt rollenbasiert nach dem Prinzip der minimalen Rechte.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Behandelnde Personen sehen ausschließlich die Akten der von ihnen betreuten Patientinnen und Patienten.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Arbeitsplätze werden beim Verlassen gesperrt, die automatische Sperre erfolgt nach fünf Minuten.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Der Fernzugriff aus dem Homeoffice erfordert eine Zwei-Faktor-Authentifizierung.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4.2  Datensicherung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 Datensicherung erfolgt nach der 3-2-1-Regel: drei Kopien, zwei Medien, eine Kopie außer Haus.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Tägliche Sicherung aller Fachanwendungen auf das interne Speichersystem.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Wöchentliche Sicherung auf ein Bandmedium, das im Tresor der Verwaltung aufbewahrt wird.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 Wiederherstellbarkeit wird halbjährlich durch einen dokumentierten Testlauf überprüft.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Sicherungsmedien werden verschlüsselt.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4.3  Netzwerk und Systeme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Das Netzwerk ist in getrennte Segmente unterteilt: Verwaltung, Behandlung, Labor und Gastzugang.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Das Gast-WLAN im Wartebereich hat keinerlei Verbindung zu internen Systemen.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Sicherheitsrelevante Aktualisierungen werden innerhalb von 14 Tagen eingespielt.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Auf allen Endgeräten ist eine Schutzsoftware mit Verhaltenserkennung aktiv.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Der Serverraum ist verschlossen zu halten, der Zutritt erfolgt ausschließlich mit Chipkarte.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Private Geräte dürfen nicht mit dem internen Netz verbunden werden.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4.4  Umgang mit mobilen Geräten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Dienstliche Tablets und Notebooks sind vollständig verschlüsselt.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Der Verlust eines Gerätes ist unverzüglich der IT-Sicherheitsbeauftragten zu melden.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Auf mobilen Geräten werden keine Daten der Stufe 4 gespeichert.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 Nutzung dienstlicher Geräte für private Zwecke ist untersagt.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4.5  Umgang mit Datenträgern und Dokumenten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Private Wechseldatenträger dürfen nicht verwendet werden.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Papierunterlagen mit Patientendaten werden über den Datenschutzbehälter entsorgt.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Am Ende des Arbeitstages befinden sich keine patientenbezogenen Unterlagen offen im Raum.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Ausgedruckte Befunde werden unmittelbar aus dem Drucker entnommen.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4.6  Kommunikation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Befunde werden nicht unverschlüsselt per E-Mail versendet.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Vor jedem Versand ist die Empfängeradresse zu prüfen.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Auskünfte am Telefon erfolgen erst nach Identitätsprüfung der anfragenden Person.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Anfragen von angeblichen Dienstleistern werden über die hinterlegte Rufnummer zurückgerufen.</w:t>
      </w:r>
    </w:p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  Sicherheitsvorfälle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5.1  Meldepflicht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Jede Person ist verpflichtet, tatsächliche oder vermutete Sicherheitsvorfälle unverzüglich zu melden. Eine Meldung führt niemals zu Nachteilen für die meldende Person, auch wenn sie den Vorfall selbst verursacht hat.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5400"/>
        <w:gridCol w:w="2606"/>
      </w:tblGrid>
      <w:tr>
        <w:trPr>
          <w:tblHeader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Zeitpunkt</w:t>
            </w:r>
          </w:p>
        </w:tc>
        <w:tc>
          <w:tcPr>
            <w:tcW w:type="dxa" w:w="5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W w:type="dxa" w:w="26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Zuständig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Sofort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Meldung an IT-Sicherheitsbeauftragte, System nicht selbst manipulieren</w:t>
            </w:r>
          </w:p>
        </w:tc>
        <w:tc>
          <w:tcPr>
            <w:tcW w:type="dxa" w:w="26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 Mitarbeitenden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Innerhalb 4 Stunden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Ersteinschätzung, Eindämmung, Information der Geschäftsführung</w:t>
            </w:r>
          </w:p>
        </w:tc>
        <w:tc>
          <w:tcPr>
            <w:tcW w:type="dxa" w:w="26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IT-Sicherheitsbeauftragte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Innerhalb 72 Stunden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Bei Betroffenheit personenbezogener Daten: Meldung an die Aufsichtsbehörde nach Art. 33 DSGVO</w:t>
            </w:r>
          </w:p>
        </w:tc>
        <w:tc>
          <w:tcPr>
            <w:tcW w:type="dxa" w:w="26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Datenschutzbeauftragter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Unverzüglich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Bei hohem Risiko: Benachrichtigung der betroffenen Personen nach Art. 34 DSGVO</w:t>
            </w:r>
          </w:p>
        </w:tc>
        <w:tc>
          <w:tcPr>
            <w:tcW w:type="dxa" w:w="26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Geschäftsführung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Nach Abschluss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Dokumentation im Vorfallregister, Ableitung von Verbesserungen</w:t>
            </w:r>
          </w:p>
        </w:tc>
        <w:tc>
          <w:tcPr>
            <w:tcW w:type="dxa" w:w="26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IT-Sicherheitsbeauftragte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5.2  Kontakte im Ernstfall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306"/>
      </w:tblGrid>
      <w:tr>
        <w:trPr>
          <w:tblHeader/>
        </w:trP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Stelle</w:t>
            </w:r>
          </w:p>
        </w:tc>
        <w:tc>
          <w:tcPr>
            <w:tcW w:type="dxa" w:w="6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Erreichbarkeit</w:t>
            </w:r>
          </w:p>
        </w:tc>
      </w:tr>
      <w:tr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IT-Sicherheitsbeauftragte</w:t>
            </w:r>
          </w:p>
        </w:tc>
        <w:tc>
          <w:tcPr>
            <w:tcW w:type="dxa" w:w="6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Durchwahl 140, mobil rund um die Uhr</w:t>
            </w:r>
          </w:p>
        </w:tc>
      </w:tr>
      <w:tr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Externer IT-Dienstleister</w:t>
            </w:r>
          </w:p>
        </w:tc>
        <w:tc>
          <w:tcPr>
            <w:tcW w:type="dxa" w:w="6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Rufbereitschaft nach Vertrag, Reaktionszeit vier Stunden</w:t>
            </w:r>
          </w:p>
        </w:tc>
      </w:tr>
      <w:tr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Externer Datenschutzbeauftragter</w:t>
            </w:r>
          </w:p>
        </w:tc>
        <w:tc>
          <w:tcPr>
            <w:tcW w:type="dxa" w:w="6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Nach Vereinbarung, Rückruf binnen 24 Stunden</w:t>
            </w:r>
          </w:p>
        </w:tc>
      </w:tr>
      <w:tr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Unabhängiges Landeszentrum für Datenschutz Schleswig-Holstein</w:t>
            </w:r>
          </w:p>
        </w:tc>
        <w:tc>
          <w:tcPr>
            <w:tcW w:type="dxa" w:w="6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Zuständige Aufsichtsbehörde</w:t>
            </w:r>
          </w:p>
        </w:tc>
      </w:tr>
      <w:tr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BSI, Meldestelle für Vorfälle</w:t>
            </w:r>
          </w:p>
        </w:tc>
        <w:tc>
          <w:tcPr>
            <w:tcW w:type="dxa" w:w="6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Bei Vorfällen mit Bezug zur kritischen Infrastruktur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6  Betroffenenrechte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Anfragen betroffener Personen nach Art. 12 bis 22 DSGVO werden zentral über die Verwaltung entgegengenommen und an den Datenschutzbeauftragten weitergeleitet.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100"/>
        <w:gridCol w:w="5506"/>
      </w:tblGrid>
      <w:tr>
        <w:trPr>
          <w:tblHeader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Recht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Bearbeitungsfrist</w:t>
            </w:r>
          </w:p>
        </w:tc>
        <w:tc>
          <w:tcPr>
            <w:tcW w:type="dxa" w:w="5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Besonderheit im MedZentrum</w:t>
            </w:r>
          </w:p>
        </w:tc>
      </w:tr>
      <w:t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Auskunft (Art. 15)</w:t>
            </w:r>
          </w:p>
        </w:tc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 Monat</w:t>
            </w:r>
          </w:p>
        </w:tc>
        <w:tc>
          <w:tcPr>
            <w:tcW w:type="dxa" w:w="5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Auskunft umfasst auch Empfänger von Befunden</w:t>
            </w:r>
          </w:p>
        </w:tc>
      </w:tr>
      <w:t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Berichtigung (Art. 16)</w:t>
            </w:r>
          </w:p>
        </w:tc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Unverzüglich</w:t>
            </w:r>
          </w:p>
        </w:tc>
        <w:tc>
          <w:tcPr>
            <w:tcW w:type="dxa" w:w="5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Änderungen werden mit Historie protokolliert</w:t>
            </w:r>
          </w:p>
        </w:tc>
      </w:tr>
      <w:t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Löschung (Art. 17)</w:t>
            </w:r>
          </w:p>
        </w:tc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Unverzüglich</w:t>
            </w:r>
          </w:p>
        </w:tc>
        <w:tc>
          <w:tcPr>
            <w:tcW w:type="dxa" w:w="5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Aufbewahrungspflicht von zehn Jahren nach § 10 MBO-Ä geht vor</w:t>
            </w:r>
          </w:p>
        </w:tc>
      </w:tr>
      <w:t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Einschränkung (Art. 18)</w:t>
            </w:r>
          </w:p>
        </w:tc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Während Prüfung</w:t>
            </w:r>
          </w:p>
        </w:tc>
        <w:tc>
          <w:tcPr>
            <w:tcW w:type="dxa" w:w="5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Datensatz wird gekennzeichnet, nicht gelöscht</w:t>
            </w:r>
          </w:p>
        </w:tc>
      </w:tr>
      <w:t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Übertragbarkeit (Art. 20)</w:t>
            </w:r>
          </w:p>
        </w:tc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 Monat</w:t>
            </w:r>
          </w:p>
        </w:tc>
        <w:tc>
          <w:tcPr>
            <w:tcW w:type="dxa" w:w="5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Export im Format der Kassenärztlichen Vereinigung</w:t>
            </w:r>
          </w:p>
        </w:tc>
      </w:tr>
      <w:tr>
        <w:tc>
          <w:tcPr>
            <w:tcW w:type="dxa" w:w="2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Widerspruch (Art. 21)</w:t>
            </w:r>
          </w:p>
        </w:tc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Sofort</w:t>
            </w:r>
          </w:p>
        </w:tc>
        <w:tc>
          <w:tcPr>
            <w:tcW w:type="dxa" w:w="5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Betrifft insbesondere Erinnerungsservice und Studien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7  Schulung und Sensibilisierung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Alle Mitarbeitenden nehmen jährlich an einer Pflichtschulung zur Informationssicherheit teil.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Neue Mitarbeitende werden vor der ersten Systemnutzung eingewiesen und schriftlich verpflichtet.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Zweimal jährlich werden simulierte Phishing-Nachrichten versendet und ausgewertet.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 Teilnahme wird dokumentiert und ist Voraussetzung für die Erteilung von Systemzugängen.</w:t>
      </w:r>
    </w:p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8  Überprüfung und Fortschreibung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2600"/>
        <w:gridCol w:w="3106"/>
      </w:tblGrid>
      <w:tr>
        <w:trPr>
          <w:tblHeader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Prüfung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Rhythmus</w:t>
            </w:r>
          </w:p>
        </w:tc>
        <w:tc>
          <w:tcPr>
            <w:tcW w:type="dxa" w:w="31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Verantwortlich</w:t>
            </w:r>
          </w:p>
        </w:tc>
      </w:tr>
      <w:t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Schutzbedarfsanalyse aller Systeme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Jährlich</w:t>
            </w:r>
          </w:p>
        </w:tc>
        <w:tc>
          <w:tcPr>
            <w:tcW w:type="dxa" w:w="3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IT-Sicherheitsbeauftragte</w:t>
            </w:r>
          </w:p>
        </w:tc>
      </w:tr>
      <w:t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Überprüfung der Zugriffsberechtigungen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Halbjährlich</w:t>
            </w:r>
          </w:p>
        </w:tc>
        <w:tc>
          <w:tcPr>
            <w:tcW w:type="dxa" w:w="3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Praxisleitungen</w:t>
            </w:r>
          </w:p>
        </w:tc>
      </w:tr>
      <w:t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Test der Datenwiederherstellung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Halbjährlich</w:t>
            </w:r>
          </w:p>
        </w:tc>
        <w:tc>
          <w:tcPr>
            <w:tcW w:type="dxa" w:w="3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Externer IT-Dienstleister</w:t>
            </w:r>
          </w:p>
        </w:tc>
      </w:tr>
      <w:t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Überarbeitung dieser Leitlinie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Jährlich</w:t>
            </w:r>
          </w:p>
        </w:tc>
        <w:tc>
          <w:tcPr>
            <w:tcW w:type="dxa" w:w="3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Geschäftsführung</w:t>
            </w:r>
          </w:p>
        </w:tc>
      </w:tr>
      <w:t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Prüfung bei wesentlichen Änderungen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Anlassbezogen</w:t>
            </w:r>
          </w:p>
        </w:tc>
        <w:tc>
          <w:tcPr>
            <w:tcW w:type="dxa" w:w="31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IT-Sicherheitsbeauftragte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9  Verbindlichkeit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Diese Leitlinie ist für alle Mitarbeitenden verbindlich. Verstöße können arbeitsrechtliche Konsequenzen nach sich ziehen. Bei Unklarheiten wenden sich Mitarbeitende an die IT-Sicherheitsbeauftragte.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Lübeck, den 01.01.2026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Dr. med. Kathrin Sörensen                              Markus Wiegand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Geschäftsführung, ärztliche Leitung                    Geschäftsführung, kaufmännische Leitung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color w:val="595959"/>
        <w:sz w:val="17"/>
        <w:szCs w:val="17"/>
      </w:rPr>
      <w:t xml:space="preserve">Intern – nicht zur Weitergabe an Dritte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b/>
        <w:bCs/>
        <w:color w:val="003366"/>
        <w:sz w:val="17"/>
        <w:szCs w:val="17"/>
      </w:rPr>
      <w:t xml:space="preserve">IT-Sicherheitsleitlinie ISL-2026-001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MedZentrum Lübeck GmbH  ·  Version 3.1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4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4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6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60" w:before="18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2026-08-17T11:56:58.281Z</dcterms:created>
  <dcterms:modified xsi:type="dcterms:W3CDTF">2026-08-17T11:56:58.297Z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