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40"/>
      </w:pPr>
      <w:r>
        <w:rPr>
          <w:rFonts w:ascii="Calibri" w:cs="Calibri" w:eastAsia="Calibri" w:hAnsi="Calibri"/>
          <w:b/>
          <w:bCs/>
          <w:sz w:val="40"/>
          <w:szCs w:val="40"/>
        </w:rPr>
        <w:t xml:space="preserve">Netzklassen &amp; CIDR – Merkzettel</w:t>
      </w:r>
    </w:p>
    <w:p>
      <w:pPr>
        <w:pBdr>
          <w:bottom w:val="single" w:color="0066AA" w:sz="6"/>
        </w:pBdr>
        <w:spacing w:before="0" w:after="16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Von Classful Networking zu CIDR</w:t>
      </w:r>
    </w:p>
    <w:p>
      <w:pPr>
        <w:spacing w:before="180" w:after="6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Klassenerkennung über Leading Bits</w:t>
      </w:r>
    </w:p>
    <w:p>
      <w:pPr>
        <w:spacing w:before="40" w:after="60"/>
      </w:pPr>
      <w:r>
        <w:rPr>
          <w:rFonts w:ascii="Calibri" w:cs="Calibri" w:eastAsia="Calibri" w:hAnsi="Calibri"/>
          <w:i/>
          <w:iCs/>
          <w:color w:val="595959"/>
          <w:sz w:val="20"/>
          <w:szCs w:val="20"/>
        </w:rPr>
        <w:t xml:space="preserve">Router erkannten die Klasse automatisch anhand der ersten Bits des ersten Oktetts – noch bevor eine Subnetzmaske bekannt war:</w:t>
      </w:r>
    </w:p>
    <w:p>
      <w:pPr>
        <w:spacing w:before="20" w:after="2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1600"/>
        <w:gridCol w:w="2000"/>
        <w:gridCol w:w="2400"/>
        <w:gridCol w:w="2126"/>
      </w:tblGrid>
      <w:tr>
        <w:trPr>
          <w:tblHeader/>
        </w:trPr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66A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Klasse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66A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Leading Bits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66A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Binär (1. Oktett)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66A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Dezimalbereich</w:t>
            </w:r>
          </w:p>
        </w:tc>
        <w:tc>
          <w:tcPr>
            <w:tcW w:type="dxa" w:w="21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66A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Erkennungsregel</w:t>
            </w:r>
          </w:p>
        </w:tc>
      </w:tr>
      <w:tr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BF3FB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A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C00000"/>
                <w:sz w:val="20"/>
                <w:szCs w:val="20"/>
              </w:rPr>
              <w:t xml:space="preserve">0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0xxxxxxx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1 – 126</w:t>
            </w:r>
          </w:p>
        </w:tc>
        <w:tc>
          <w:tcPr>
            <w:tcW w:type="dxa" w:w="21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Erstes Bit = 0</w:t>
            </w:r>
          </w:p>
        </w:tc>
      </w:tr>
      <w:tr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BF3FB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B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C00000"/>
                <w:sz w:val="20"/>
                <w:szCs w:val="20"/>
              </w:rPr>
              <w:t xml:space="preserve">10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10xxxxxx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128 – 191</w:t>
            </w:r>
          </w:p>
        </w:tc>
        <w:tc>
          <w:tcPr>
            <w:tcW w:type="dxa" w:w="21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Erste zwei Bits = 10</w:t>
            </w:r>
          </w:p>
        </w:tc>
      </w:tr>
      <w:tr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BF3FB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C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C00000"/>
                <w:sz w:val="20"/>
                <w:szCs w:val="20"/>
              </w:rPr>
              <w:t xml:space="preserve">110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110xxxxx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192 – 223</w:t>
            </w:r>
          </w:p>
        </w:tc>
        <w:tc>
          <w:tcPr>
            <w:tcW w:type="dxa" w:w="21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Erste drei Bits = 110</w:t>
            </w:r>
          </w:p>
        </w:tc>
      </w:tr>
      <w:tr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D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C00000"/>
                <w:sz w:val="20"/>
                <w:szCs w:val="20"/>
              </w:rPr>
              <w:t xml:space="preserve">1110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1110xxxx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224 – 239</w:t>
            </w:r>
          </w:p>
        </w:tc>
        <w:tc>
          <w:tcPr>
            <w:tcW w:type="dxa" w:w="21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Erste vier Bits = 1110  (Multicast)</w:t>
            </w:r>
          </w:p>
        </w:tc>
      </w:tr>
      <w:tr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E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C00000"/>
                <w:sz w:val="20"/>
                <w:szCs w:val="20"/>
              </w:rPr>
              <w:t xml:space="preserve">1111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1111xxxx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240 – 255</w:t>
            </w:r>
          </w:p>
        </w:tc>
        <w:tc>
          <w:tcPr>
            <w:tcW w:type="dxa" w:w="21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Erste vier Bits = 1111  (Reserviert)</w:t>
            </w:r>
          </w:p>
        </w:tc>
      </w:tr>
    </w:tbl>
    <w:p>
      <w:pPr>
        <w:spacing w:before="20" w:after="20"/>
      </w:pPr>
      <w:r>
        <w:rPr>
          <w:sz w:val="20"/>
          <w:szCs w:val="20"/>
        </w:rPr>
        <w:t xml:space="preserve"/>
      </w:r>
    </w:p>
    <w:p>
      <w:pPr>
        <w:spacing w:before="40" w:after="60"/>
      </w:pPr>
      <w:r>
        <w:rPr>
          <w:rFonts w:ascii="Calibri" w:cs="Calibri" w:eastAsia="Calibri" w:hAnsi="Calibri"/>
          <w:i/>
          <w:iCs/>
          <w:color w:val="595959"/>
          <w:sz w:val="20"/>
          <w:szCs w:val="20"/>
        </w:rPr>
        <w:t xml:space="preserve">Warum fehlt 0 und 127?  →  Beide fallen technisch in Klasse A (erstes Bit = 0), sind aber für Sonderzwecke reserviert – siehe Tabelle unten.</w:t>
      </w:r>
    </w:p>
    <w:p>
      <w:pPr>
        <w:spacing w:before="180" w:after="6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Reservierte Adressbereiche  (nicht in den Klassen)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1600"/>
        <w:gridCol w:w="4626"/>
      </w:tblGrid>
      <w:tr>
        <w:trPr>
          <w:tblHeader/>
        </w:trPr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7030A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Adressbereich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7030A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Klasse technisch</w:t>
            </w:r>
          </w:p>
        </w:tc>
        <w:tc>
          <w:tcPr>
            <w:tcW w:type="dxa" w:w="4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7030A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Bedeutung / Verwendung</w:t>
            </w:r>
          </w:p>
        </w:tc>
      </w:tr>
      <w:tr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0.0.0.0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A  (0xxxxxxx)</w:t>
            </w:r>
          </w:p>
        </w:tc>
        <w:tc>
          <w:tcPr>
            <w:tcW w:type="dxa" w:w="4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Platzhalter / Standardroute 0.0.0.0/0  –  kein gültiger Host</w:t>
            </w:r>
          </w:p>
        </w:tc>
      </w:tr>
      <w:tr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127.0.0.0 – 127.255.255.255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A  (0xxxxxxx)</w:t>
            </w:r>
          </w:p>
        </w:tc>
        <w:tc>
          <w:tcPr>
            <w:tcW w:type="dxa" w:w="4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Loopback  –  127.0.0.1 = localhost, verlässt nie die Netzwerkkarte</w:t>
            </w:r>
          </w:p>
        </w:tc>
      </w:tr>
      <w:tr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169.254.0.0 – 169.254.255.255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B  (10xxxxxx)</w:t>
            </w:r>
          </w:p>
        </w:tc>
        <w:tc>
          <w:tcPr>
            <w:tcW w:type="dxa" w:w="4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APIPA  –  automatisch vergeben wenn DHCP nicht antwortet (Windows)</w:t>
            </w:r>
          </w:p>
        </w:tc>
      </w:tr>
      <w:tr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255.255.255.255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–</w:t>
            </w:r>
          </w:p>
        </w:tc>
        <w:tc>
          <w:tcPr>
            <w:tcW w:type="dxa" w:w="4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Limited Broadcast  –  an alle Geräte im lokalen Segment</w:t>
            </w:r>
          </w:p>
        </w:tc>
      </w:tr>
      <w:tr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224.0.0.0 – 239.255.255.255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D  (1110xxxx)</w:t>
            </w:r>
          </w:p>
        </w:tc>
        <w:tc>
          <w:tcPr>
            <w:tcW w:type="dxa" w:w="4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Multicast  –  Klasse D, für Gruppenübertragungen</w:t>
            </w:r>
          </w:p>
        </w:tc>
      </w:tr>
      <w:tr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240.0.0.0 – 255.255.255.254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E  (1111xxxx)</w:t>
            </w:r>
          </w:p>
        </w:tc>
        <w:tc>
          <w:tcPr>
            <w:tcW w:type="dxa" w:w="4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Reserviert / Forschung  –  Klasse E, nicht im Einsatz</w:t>
            </w:r>
          </w:p>
        </w:tc>
      </w:tr>
    </w:tbl>
    <w:p>
      <w:pPr>
        <w:spacing w:before="20" w:after="20"/>
      </w:pPr>
      <w:r>
        <w:rPr>
          <w:sz w:val="20"/>
          <w:szCs w:val="20"/>
        </w:rPr>
        <w:t xml:space="preserve"/>
      </w:r>
    </w:p>
    <w:p>
      <w:pPr>
        <w:spacing w:before="180" w:after="6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IPv4-Netzklassen  (historisch · bis ~1993)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1800"/>
        <w:gridCol w:w="1800"/>
        <w:gridCol w:w="1800"/>
        <w:gridCol w:w="1400"/>
        <w:gridCol w:w="1326"/>
      </w:tblGrid>
      <w:tr>
        <w:trPr>
          <w:tblHeader/>
        </w:trPr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66A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Klasse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66A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Bereich (1. Oktett)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66A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Standard-Maske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66A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Privater Bereich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66A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Netzgröße</w:t>
            </w:r>
          </w:p>
        </w:tc>
        <w:tc>
          <w:tcPr>
            <w:tcW w:type="dxa" w:w="13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66A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Gedacht für</w:t>
            </w:r>
          </w:p>
        </w:tc>
      </w:tr>
      <w:tr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BF3FB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1 – 126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255.0.0.0  (/8)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10.0.0.0 – 10.255.255.255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~16,7 Mio. Hosts</w:t>
            </w:r>
          </w:p>
        </w:tc>
        <w:tc>
          <w:tcPr>
            <w:tcW w:type="dxa" w:w="13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Sehr große Netze</w:t>
            </w:r>
          </w:p>
        </w:tc>
      </w:tr>
      <w:tr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BF3FB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B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128 – 191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255.255.0.0  (/16)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172.16.0.0 – 172.31.255.255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~65.500 Hosts</w:t>
            </w:r>
          </w:p>
        </w:tc>
        <w:tc>
          <w:tcPr>
            <w:tcW w:type="dxa" w:w="13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Mittlere Netze</w:t>
            </w:r>
          </w:p>
        </w:tc>
      </w:tr>
      <w:tr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BF3FB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C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192 – 223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255.255.255.0  (/24)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192.168.0.0 – 192.168.255.255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254 Hosts</w:t>
            </w:r>
          </w:p>
        </w:tc>
        <w:tc>
          <w:tcPr>
            <w:tcW w:type="dxa" w:w="13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Kleine Netze</w:t>
            </w:r>
          </w:p>
        </w:tc>
      </w:tr>
      <w:tr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D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224 – 239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–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–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–</w:t>
            </w:r>
          </w:p>
        </w:tc>
        <w:tc>
          <w:tcPr>
            <w:tcW w:type="dxa" w:w="13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Multicast</w:t>
            </w:r>
          </w:p>
        </w:tc>
      </w:tr>
      <w:tr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240 – 255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–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–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–</w:t>
            </w:r>
          </w:p>
        </w:tc>
        <w:tc>
          <w:tcPr>
            <w:tcW w:type="dxa" w:w="13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Reserviert / Forschung</w:t>
            </w:r>
          </w:p>
        </w:tc>
      </w:tr>
    </w:tbl>
    <w:p>
      <w:pPr>
        <w:spacing w:before="20" w:after="20"/>
      </w:pPr>
      <w:r>
        <w:rPr>
          <w:sz w:val="20"/>
          <w:szCs w:val="20"/>
        </w:rPr>
        <w:t xml:space="preserve"/>
      </w:r>
    </w:p>
    <w:p>
      <w:pPr>
        <w:spacing w:before="40" w:after="60"/>
      </w:pPr>
      <w:r>
        <w:rPr>
          <w:rFonts w:ascii="Calibri" w:cs="Calibri" w:eastAsia="Calibri" w:hAnsi="Calibri"/>
          <w:i/>
          <w:iCs/>
          <w:color w:val="595959"/>
          <w:sz w:val="20"/>
          <w:szCs w:val="20"/>
        </w:rPr>
        <w:t xml:space="preserve">Klassen D und E haben keine Subnetzmaske und werden nicht für normale Hosts vergeben.</w:t>
      </w:r>
    </w:p>
    <w:p>
      <w:pPr>
        <w:pBdr>
          <w:bottom w:val="single" w:color="0066AA" w:sz="6"/>
        </w:pBdr>
        <w:spacing w:before="160" w:after="1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  Heute: Classless Inter-Domain Routing (CIDR)  –  Klassen nicht mehr relevant</w:t>
      </w:r>
    </w:p>
    <w:p>
      <w:pPr>
        <w:spacing w:before="40" w:after="60"/>
      </w:pPr>
      <w:r>
        <w:rPr>
          <w:rFonts w:ascii="Calibri" w:cs="Calibri" w:eastAsia="Calibri" w:hAnsi="Calibri"/>
          <w:i/>
          <w:iCs/>
          <w:color w:val="595959"/>
          <w:sz w:val="20"/>
          <w:szCs w:val="20"/>
        </w:rPr>
        <w:t xml:space="preserve">Problem der Klassen: zu unflexibel – Klasse C (254 Hosts) oft zu klein, Klasse B (65.000 Hosts) viel zu groß. Dazwischen gab es nichts.</w:t>
      </w:r>
    </w:p>
    <w:p>
      <w:pPr>
        <w:spacing w:before="40" w:after="60"/>
      </w:pPr>
      <w:r>
        <w:rPr>
          <w:rFonts w:ascii="Calibri" w:cs="Calibri" w:eastAsia="Calibri" w:hAnsi="Calibri"/>
          <w:i/>
          <w:iCs/>
          <w:color w:val="595959"/>
          <w:sz w:val="20"/>
          <w:szCs w:val="20"/>
        </w:rPr>
        <w:t xml:space="preserve">Lösung: CIDR (1993) – die Subnetzmaske ist nicht mehr an die Klasse gebunden, sondern frei wählbar. Ergebnis: exakt so viele Hosts wie gebraucht.</w:t>
      </w:r>
    </w:p>
    <w:p>
      <w:pPr>
        <w:spacing w:before="20" w:after="20"/>
      </w:pPr>
      <w:r>
        <w:rPr>
          <w:sz w:val="20"/>
          <w:szCs w:val="20"/>
        </w:rPr>
        <w:t xml:space="preserve"/>
      </w:r>
    </w:p>
    <w:p>
      <w:pPr>
        <w:spacing w:before="180" w:after="6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CIDR-Tabelle  (heute Standard)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2600"/>
        <w:gridCol w:w="1800"/>
        <w:gridCol w:w="1800"/>
        <w:gridCol w:w="1926"/>
      </w:tblGrid>
      <w:tr>
        <w:trPr>
          <w:tblHeader/>
        </w:trPr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37562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CIDR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37562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Subnetzmaske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37562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Netz-Bits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37562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Host-Bits</w:t>
            </w:r>
          </w:p>
        </w:tc>
        <w:tc>
          <w:tcPr>
            <w:tcW w:type="dxa" w:w="19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37562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Nutzbare Hosts</w:t>
            </w:r>
          </w:p>
        </w:tc>
      </w:tr>
      <w:tr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/8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255.0.0.0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8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24</w:t>
            </w:r>
          </w:p>
        </w:tc>
        <w:tc>
          <w:tcPr>
            <w:tcW w:type="dxa" w:w="19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16.777.214</w:t>
            </w:r>
          </w:p>
        </w:tc>
      </w:tr>
      <w:tr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/16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255.255.0.0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16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16</w:t>
            </w:r>
          </w:p>
        </w:tc>
        <w:tc>
          <w:tcPr>
            <w:tcW w:type="dxa" w:w="19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65.534</w:t>
            </w:r>
          </w:p>
        </w:tc>
      </w:tr>
      <w:tr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/24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255.255.255.0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24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8</w:t>
            </w:r>
          </w:p>
        </w:tc>
        <w:tc>
          <w:tcPr>
            <w:tcW w:type="dxa" w:w="19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254</w:t>
            </w:r>
          </w:p>
        </w:tc>
      </w:tr>
      <w:tr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/25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255.255.255.128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25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7</w:t>
            </w:r>
          </w:p>
        </w:tc>
        <w:tc>
          <w:tcPr>
            <w:tcW w:type="dxa" w:w="19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126</w:t>
            </w:r>
          </w:p>
        </w:tc>
      </w:tr>
      <w:tr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/26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255.255.255.192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26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6</w:t>
            </w:r>
          </w:p>
        </w:tc>
        <w:tc>
          <w:tcPr>
            <w:tcW w:type="dxa" w:w="19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62</w:t>
            </w:r>
          </w:p>
        </w:tc>
      </w:tr>
      <w:tr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/27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255.255.255.224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27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5</w:t>
            </w:r>
          </w:p>
        </w:tc>
        <w:tc>
          <w:tcPr>
            <w:tcW w:type="dxa" w:w="19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30</w:t>
            </w:r>
          </w:p>
        </w:tc>
      </w:tr>
      <w:tr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/28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255.255.255.240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28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4</w:t>
            </w:r>
          </w:p>
        </w:tc>
        <w:tc>
          <w:tcPr>
            <w:tcW w:type="dxa" w:w="19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14</w:t>
            </w:r>
          </w:p>
        </w:tc>
      </w:tr>
      <w:tr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/29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255.255.255.248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29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3</w:t>
            </w:r>
          </w:p>
        </w:tc>
        <w:tc>
          <w:tcPr>
            <w:tcW w:type="dxa" w:w="19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6</w:t>
            </w:r>
          </w:p>
        </w:tc>
      </w:tr>
      <w:tr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/30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255.255.255.252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30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2</w:t>
            </w:r>
          </w:p>
        </w:tc>
        <w:tc>
          <w:tcPr>
            <w:tcW w:type="dxa" w:w="19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2</w:t>
            </w:r>
          </w:p>
        </w:tc>
      </w:tr>
    </w:tbl>
    <w:p>
      <w:pPr>
        <w:spacing w:before="20" w:after="20"/>
      </w:pPr>
      <w:r>
        <w:rPr>
          <w:sz w:val="20"/>
          <w:szCs w:val="20"/>
        </w:rPr>
        <w:t xml:space="preserve"/>
      </w:r>
    </w:p>
    <w:p>
      <w:pPr>
        <w:spacing w:before="40" w:after="60"/>
      </w:pPr>
      <w:r>
        <w:rPr>
          <w:rFonts w:ascii="Calibri" w:cs="Calibri" w:eastAsia="Calibri" w:hAnsi="Calibri"/>
          <w:i/>
          <w:iCs/>
          <w:color w:val="595959"/>
          <w:sz w:val="20"/>
          <w:szCs w:val="20"/>
        </w:rPr>
        <w:t xml:space="preserve">Blau hinterlegt = entsprechen den alten Klassen-Standardmasken  |  Gelb = Punkt-zu-Punkt-Verbindung (nur 2 Hosts)</w:t>
      </w:r>
    </w:p>
    <w:p>
      <w:pPr>
        <w:pBdr>
          <w:top w:val="single" w:color="BFBFBF" w:sz="4"/>
        </w:pBdr>
        <w:spacing w:before="140" w:after="0"/>
      </w:pPr>
      <w:r>
        <w:rPr>
          <w:rFonts w:ascii="Calibri" w:cs="Calibri" w:eastAsia="Calibri" w:hAnsi="Calibri"/>
          <w:color w:val="595959"/>
          <w:sz w:val="18"/>
          <w:szCs w:val="18"/>
        </w:rPr>
        <w:t xml:space="preserve">Formel nutzbare Hosts = 2</w:t>
      </w:r>
      <w:r>
        <w:rPr>
          <w:rFonts w:ascii="Calibri" w:cs="Calibri" w:eastAsia="Calibri" w:hAnsi="Calibri"/>
          <w:color w:val="595959"/>
          <w:sz w:val="14"/>
          <w:szCs w:val="14"/>
          <w:vertAlign w:val="superscript"/>
        </w:rPr>
        <w:t xml:space="preserve">n</w:t>
      </w:r>
      <w:r>
        <w:rPr>
          <w:rFonts w:ascii="Calibri" w:cs="Calibri" w:eastAsia="Calibri" w:hAnsi="Calibri"/>
          <w:color w:val="595959"/>
          <w:sz w:val="18"/>
          <w:szCs w:val="18"/>
        </w:rPr>
        <w:t xml:space="preserve">  − 2     (n = Host-Bits)     |     Netzadresse und Broadcast werden abgezogen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0066AA"/>
      <w:sz w:val="32"/>
      <w:szCs w:val="32"/>
    </w:rPr>
  </w:style>
  <w:style w:type="paragraph" w:styleId="Heading2">
    <w:name w:val="Heading 2"/>
    <w:basedOn w:val="Normal"/>
    <w:next w:val="Normal"/>
    <w:qFormat/>
    <w:rPr>
      <w:color w:val="0066AA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0066AA"/>
    </w:rPr>
  </w:style>
  <w:style w:type="paragraph" w:styleId="Heading5">
    <w:name w:val="Heading 5"/>
    <w:basedOn w:val="Normal"/>
    <w:next w:val="Normal"/>
    <w:qFormat/>
    <w:rPr>
      <w:color w:val="0066AA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2026-02-26T09:13:29.735Z</dcterms:created>
  <dcterms:modified xsi:type="dcterms:W3CDTF">2026-02-26T09:13:29.736Z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