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IPv4 – Merkzettel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Grundlagen zum Nachschlagen</w:t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Aufbau einer IPv4-Adresse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Format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4 Zahlen, getrennt durch Punkte  →  192.168.1.10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Oktett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Jede der 4 Zahlen  →  Wert von 0 bis 255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Beispiel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192  .  168  .  1  .  10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Bitlänge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32 Bit gesamt  (4 × 8 Bit)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Subnetzmaske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Subnetzmaske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Aufgabe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255.255.255.0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Trennt Netzanteil und Hostanteil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In CIDR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255.255.255.0  =  /24  (24 Bit für das Netz)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Netzanteil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Gleich bei allen Geräten im selben Netz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Hostanteil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Unterschiedlich  →  identifiziert das einzelne Gerät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Die drei wichtigsten Adressen im Netz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Adresstyp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Beispiel  (Netz: 192.168.1.0 /24)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Netzadresse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192.168.1.0   →   erste Adresse, nicht nutzbar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Broadcast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192.168.1.255   →   letzte Adresse, nicht nutzbar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Nutzbare Hosts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192.168.1.1 – 192.168.1.254   →   254 Geräte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Standard-Gateway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Begriff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Erklärung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Was ist es?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Router-Adresse im lokalen Netz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Wofür?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Pakete die nicht ins eigene Netz gehören werden dorthin geschickt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Typisch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Erste nutzbare Adresse  →  z. B. 192.168.1.1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Private Adressbereiche (RFC 1918)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Verwendung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10.0.0.0 – 10.255.255.255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Große Unternehmen  (/8)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172.16.0.0 – 172.31.255.255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Mittlere Netze  (/12)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192.168.0.0 – 192.168.255.255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Heimnetz / kleines Büro  (/16)</w:t>
            </w:r>
          </w:p>
        </w:tc>
      </w:tr>
    </w:tbl>
    <w:p>
      <w:pPr>
        <w:spacing w:before="30" w:after="3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→ Private Adressen sind im Internet nicht erreichbar.</w:t>
      </w:r>
    </w:p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Besondere Adressen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26"/>
      </w:tblGrid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Adresse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127.0.0.1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Loopback  →  der eigene Rechner  ("localhost")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0.0.0.0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Platzhalter – steht für 'beliebig' oder 'alle', z. B. als Standardroute 0.0.0.0/0 in der Routing-Tabelle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255.255.255.255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Broadcast an alle im lokalen Netz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169.254.x.x</w:t>
            </w:r>
          </w:p>
        </w:tc>
        <w:tc>
          <w:tcPr>
            <w:tcW w:type="dxa" w:w="6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APIPA  →  automatisch vergeben wenn kein DHCP antwortet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spacing w:before="160" w:after="6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Schnell-Übersicht CIDR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7826"/>
      </w:tblGrid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CIDR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66AA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Subnetzmaske         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/24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255.255.255.0            254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/25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255.255.255.128          126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/26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255.255.255.192           62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/27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255.255.255.224           30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/28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255.255.255.240           14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/16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255.255.0.0           65.534 Hosts</w:t>
            </w:r>
          </w:p>
        </w:tc>
      </w:tr>
      <w:tr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/8</w:t>
            </w:r>
          </w:p>
        </w:tc>
        <w:tc>
          <w:tcPr>
            <w:tcW w:type="dxa" w:w="78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255.0.0.0         16.777.214 Hosts</w:t>
            </w:r>
          </w:p>
        </w:tc>
      </w:tr>
    </w:tbl>
    <w:p>
      <w:pPr>
        <w:spacing w:before="20" w:after="20"/>
      </w:pPr>
      <w:r>
        <w:rPr>
          <w:sz w:val="20"/>
          <w:szCs w:val="20"/>
        </w:rPr>
        <w:t xml:space="preserve"/>
      </w:r>
    </w:p>
    <w:p>
      <w:pPr>
        <w:pBdr>
          <w:top w:val="single" w:color="BFBFBF" w:sz="4"/>
        </w:pBdr>
        <w:spacing w:before="120" w:after="0"/>
      </w:pPr>
      <w:r>
        <w:rPr>
          <w:rFonts w:ascii="Calibri" w:cs="Calibri" w:eastAsia="Calibri" w:hAnsi="Calibri"/>
          <w:color w:val="595959"/>
          <w:sz w:val="18"/>
          <w:szCs w:val="18"/>
        </w:rPr>
        <w:t xml:space="preserve">Formel: nutzbare Hosts = 2</w:t>
      </w:r>
      <w:r>
        <w:rPr>
          <w:rFonts w:ascii="Calibri" w:cs="Calibri" w:eastAsia="Calibri" w:hAnsi="Calibri"/>
          <w:color w:val="595959"/>
          <w:sz w:val="14"/>
          <w:szCs w:val="14"/>
          <w:vertAlign w:val="superscript"/>
        </w:rPr>
        <w:t xml:space="preserve">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  − 2     (n = Anzahl der Host-Bits)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2026-02-26T09:07:13.122Z</dcterms:created>
  <dcterms:modified xsi:type="dcterms:W3CDTF">2026-02-26T09:07:13.123Z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