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A7A3C"/>
          <w:sz w:val="40"/>
          <w:szCs w:val="40"/>
        </w:rPr>
        <w:t xml:space="preserve">Strukturierte Verkabelung – Musterlösung</w:t>
      </w:r>
    </w:p>
    <w:p>
      <w:pPr>
        <w:spacing w:before="0" w:after="24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Verkabelungsebenen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500"/>
        <w:gridCol w:w="1600"/>
        <w:gridCol w:w="11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Verbindet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Verteiler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Primärverkabelung
(Geländeverkabelung)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Gebäude untereinander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OS2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1.500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SV (Standortverteiler / CD)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Sekundärverkabelung
(Gebäudeverkabelung)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GV ↔ Etagenverteiler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/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500 m (OS2)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GV (Gebäudeverteiler / BD)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Tertiärverkabelung
(Etagenverkabelung)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EV ↔ Anschlussdose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Cat5e / Cat6 /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90 m + 10 m Patch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EV (Etagenverteiler / FD)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Kabelkategorien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200"/>
        <w:gridCol w:w="1600"/>
        <w:gridCol w:w="1000"/>
        <w:gridCol w:w="4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Abschirmung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Cat5e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U/UTP oder F/UTP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250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1G (10G bis 55 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U/UTP oder F/UTP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F/FTP oder S/FTP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600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S/FTP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2.000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25/40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30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S/FTP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Zusatz: Glasfaser OS2 (Singlemode, 9 µm Kern) – für Reichweiten bis 1.500 m auf dem Campus.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OM3/OM4 als günstigere Alternative bis 500 m.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T568 Anschlussbelegung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T568A Pin 1: Weiß-Grün  |  T568B Pin 1: Weiß-Orange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Crossover-Kabel (ein Ende T568A, anderes T568B). Begründung: Beim direkten PC-zu-PC-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Anschluss muss das Sendesignal des einen PCs auf den Empfangspin des anderen gelegt werden.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(Heute kaum noch nötig durch Auto-MDI-X – aber klassische Antwort für IHK.)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Mischung der Standards führt zu falscher Pinbelegung an den Übergangspunkten → die Paare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 und 3 werden vertauscht → TX und RX nicht mehr korrekt → keine Verbindung möglich.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A7A3C"/>
          <w:sz w:val="17"/>
          <w:szCs w:val="17"/>
        </w:rPr>
        <w:t xml:space="preserve">d) Pinbelegung T568B: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0"/>
        <w:gridCol w:w="4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Farbe (T568B)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Weiß-Orange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TX+ (Senden positiv)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Orange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TX- (Senden negativ)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Weiß-Grün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RX+ (Empfangen positiv)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Blau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Weiß-Blau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Grün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RX- (Empfangen negativ)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Weiß-Braun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Braun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Aktive / passive Komponenten &amp; Segmentlängen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00"/>
        <w:gridCol w:w="3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Komponente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Aktiv / 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Hub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Patchfeld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Medienkonverter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Anschlussdose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Access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Berechnung: 3 m + 85 m + 4 m = 92 m Gesamtkanal. ✓ Normkonform (&lt; 100 m).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Festkabel: 85 m ✓ (&lt; 90 m). Patchkabel gesamt: 3 + 4 = 7 m ✓ (&lt; 10 m). Alles ok.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Mindestens Cat6a (500 MHz). Cat6 schafft 10G nur bis 55 m, Cat6a bis 100 m.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5: Freitext – Musterlösung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Strukturierte Verkabelung (EN50173) ist eine genormte, herstellerneutrale Planung der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Netzwerkinfrastruktur in Gebäuden. Sie ermöglicht einfache Erweiterung, klare Dokumentation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und Fehlerbehebung.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3 Ebenen: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1) Primär (Gelände): Verbindet Gebäude → Glasfaser OS2, bis 1.500 m, SV (Standortverteiler)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2) Sekundär (Gebäude): Verbindet Etagen → Glasfaser/Cat6a, bis 500 m, GV (Gebäudeverteiler)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3) Tertiär (Etage): Verteiler → Dose → Arbeitsplatz → Cat6, 90 m + 10 m Patch = 100 m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100-m-Regel: Gesamtkanal maximal 100 m (= 90 m fest + 10 m Patchkabel). Überschreitung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führt zu Signaldämpfung und Übertragungsfehlern.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Glasfaser für obere Ebenen: Höhere Bandbreite, keine elektromagnetische Störung,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galvanische Trennung, viel größere Reichweite als Kupfer.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Verkabelung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Strukturierte Verkabelung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2026-03-11T07:50:18.391Z</dcterms:created>
  <dcterms:modified xsi:type="dcterms:W3CDTF">2026-03-11T07:50:18.391Z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