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Strukturierte Gebäudeverkabelung</w:t>
      </w:r>
    </w:p>
    <w:p>
      <w:pPr>
        <w:spacing w:before="0" w:after="24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EN50173 / ISO IEC 11801 – Merkzettel für FIAE / FISI</w:t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1. Die drei Ebenen der strukturierten Verkabelung (EN50173)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0"/>
        <w:gridCol w:w="2000"/>
        <w:gridCol w:w="1700"/>
        <w:gridCol w:w="1700"/>
        <w:gridCol w:w="1300"/>
        <w:gridCol w:w="19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Ebene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Bezeichnung (EN50173)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Verbindet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Typisches Kabel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Verteilerpunkt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4ED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C5D2E"/>
                <w:sz w:val="24"/>
                <w:szCs w:val="24"/>
              </w:rPr>
              <w:t xml:space="preserve">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4ED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C5D2E"/>
                <w:sz w:val="17"/>
                <w:szCs w:val="17"/>
              </w:rPr>
              <w:t xml:space="preserve">Primärverkabelung
(Geländeverkabelung)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Gebäude untereinander (Campus)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Glasfaser (OS2, OM3/4)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4ED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C5D2E"/>
                <w:sz w:val="16"/>
                <w:szCs w:val="16"/>
              </w:rPr>
              <w:t xml:space="preserve">1.500 m (OS2)
500 m (OM)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Standortverteiler (SV / CD)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0E4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4A8A"/>
                <w:sz w:val="24"/>
                <w:szCs w:val="24"/>
              </w:rPr>
              <w:t xml:space="preserve">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0E4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4A8A"/>
                <w:sz w:val="17"/>
                <w:szCs w:val="17"/>
              </w:rPr>
              <w:t xml:space="preserve">Sekundärverkabelung
(Gebäudeverkabelung)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Etagen-/Stockwerksverteiler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Glasfaser oder Cat6a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0E4F7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4A8A"/>
                <w:sz w:val="16"/>
                <w:szCs w:val="16"/>
              </w:rPr>
              <w:t xml:space="preserve">500 m (OS2)
300 m (OM)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Gebäudeverteiler (GV / BD)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8D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A2D00"/>
                <w:sz w:val="24"/>
                <w:szCs w:val="24"/>
              </w:rPr>
              <w:t xml:space="preserve">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8D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A2D00"/>
                <w:sz w:val="17"/>
                <w:szCs w:val="17"/>
              </w:rPr>
              <w:t xml:space="preserve">Tertiärverkabelung
(Etagenverkabelung)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Anschlussdose ↔ Etagenverteiler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Cat5e / Cat6 / Cat6a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E8D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7A2D00"/>
                <w:sz w:val="16"/>
                <w:szCs w:val="16"/>
              </w:rPr>
              <w:t xml:space="preserve">90 m (fest) + 10 m Patchkabel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Etagenverteiler (EV / FD)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📐 Merkformel: Gelände → Gebäude → Etage (3 Ebenen, 3 Verteilertypen)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SV (Standortverteiler) → GV (Gebäudeverteiler) → EV (Etagenverteiler) → TO (Anschlussdose)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EN50173 ist die europäische Norm. Internationale Entsprechung: ISO/IEC 11801.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160" w:after="10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Verteilertypen im Überblick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800"/>
        <w:gridCol w:w="2800"/>
        <w:gridCol w:w="46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Kürzel (DE)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Kürzel (EN)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Funktion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SV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CD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Standortverteiler (Campus Distributor)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Zentraler Verteiler des gesamten Geländes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GV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BD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Gebäudeverteiler (Building Distributor)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Verteiler je Gebäude; verbindet SV mit EV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EV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FD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Etagenverteiler (Floor Distributor)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Verteiler je Etage; verbindet GV mit TAE/Dosen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CP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Consolidation Point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Optionaler Zwischenpunkt in der Tertiärverkabelung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TO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TO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7"/>
                <w:szCs w:val="17"/>
              </w:rPr>
              <w:t xml:space="preserve">Telecommunications Outlet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Anschlussdose am Arbeitsplatz (RJ45-Buchse)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2. Kabeltypen – Twisted Pair (Kupfer)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0"/>
        <w:gridCol w:w="1000"/>
        <w:gridCol w:w="1400"/>
        <w:gridCol w:w="800"/>
        <w:gridCol w:w="1800"/>
        <w:gridCol w:w="32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Kategorie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Frequenz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Datenrate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Abschirmung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Einsatz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9"/>
                <w:szCs w:val="19"/>
              </w:rPr>
              <w:t xml:space="preserve">Cat5e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100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444444"/>
                <w:sz w:val="17"/>
                <w:szCs w:val="17"/>
              </w:rPr>
              <w:t xml:space="preserve">1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U/UTP oder F/UTP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Büro-Renovierung, ältere Anlagen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9"/>
                <w:szCs w:val="19"/>
              </w:rPr>
              <w:t xml:space="preserve">Cat6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250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1 Gbit/s
(10G bis 55 m)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U/UTP oder F/UTP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Standard für Neuinstallation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9"/>
                <w:szCs w:val="19"/>
              </w:rPr>
              <w:t xml:space="preserve">Cat6a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500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7"/>
                <w:szCs w:val="17"/>
              </w:rPr>
              <w:t xml:space="preserve">10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F/FTP oder S/FTP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Rechenzentrum, Hochleistung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9"/>
                <w:szCs w:val="19"/>
              </w:rPr>
              <w:t xml:space="preserve">Cat7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600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10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S/FTP (Paar + Gesamtschirm)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Industriell, hohe Störumgebung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5000"/>
                <w:sz w:val="19"/>
                <w:szCs w:val="19"/>
              </w:rPr>
              <w:t xml:space="preserve">Cat8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2.000 MHz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05000"/>
                <w:sz w:val="17"/>
                <w:szCs w:val="17"/>
              </w:rPr>
              <w:t xml:space="preserve">25/40 Gbit/s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30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S/FTP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9FA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Rechenzentrum (Rack-to-Rack)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8A5D00" w:sz="8"/>
              <w:bottom w:val="single" w:color="CCCCCC" w:sz="1"/>
              <w:right w:val="single" w:color="CCCCCC" w:sz="1"/>
            </w:tcBorders>
            <w:shd w:fill="FDF3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⚠️ Die 100-m-Regel: Gilt für den Gesamtkanal (Channel) = 90 m Festverkabelung + 10 m Patchkabel.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Cat6 mit 10 Gbit/s nur bis 55 m. Für 10G auf voller Länge: Cat6a verwenden.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8A5D00"/>
                <w:sz w:val="17"/>
                <w:szCs w:val="17"/>
              </w:rPr>
              <w:t xml:space="preserve">IHK-Tipp: 'Maximale Kabellänge' in der Prüfung = 100 m (außer Cat8 = 30 m).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160" w:after="10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Abschirmungsbezeichnungen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200"/>
        <w:gridCol w:w="2800"/>
        <w:gridCol w:w="31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Kürzel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Bedeutung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Aufbau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Einsatz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U/UTP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Unshielded Twisted Pair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Keine Schirmung – nur Verdrillung der Aderpaare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Heimnetz, einfache Büroverkabelung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F/UTP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Foiled UTP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Gesamtschirm aus Folie, Paare ungeschirmt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Standard-Büroverkabelung (Cat6)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U/FTP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Unshielded / Foiled Twisted Pair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Kein Gesamtschirm, Paare einzeln mit Folie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Gegen Nebensprechen (Cat6a)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S/FTP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Screened / Foiled 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Gesamtschirm aus Geflecht + Einzelpaarfolien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Cat7/8, hohe Störumgebung, Industrie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3366"/>
                <w:sz w:val="17"/>
                <w:szCs w:val="17"/>
              </w:rPr>
              <w:t xml:space="preserve">F/FTP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595959"/>
                <w:sz w:val="16"/>
                <w:szCs w:val="16"/>
              </w:rPr>
              <w:t xml:space="preserve">Foiled / Foiled 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Gesamtschirm aus Folie + Einzelpaarfolien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Cat6a/7, Rechenzentrum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spacing w:before="160" w:after="100"/>
      </w:pPr>
      <w:r>
        <w:rPr>
          <w:rFonts w:ascii="Calibri" w:cs="Calibri" w:eastAsia="Calibri" w:hAnsi="Calibri"/>
          <w:b/>
          <w:bCs/>
          <w:color w:val="0066AA"/>
          <w:sz w:val="22"/>
          <w:szCs w:val="22"/>
        </w:rPr>
        <w:t xml:space="preserve">Glasfaser-Typen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900"/>
        <w:gridCol w:w="1400"/>
        <w:gridCol w:w="2500"/>
        <w:gridCol w:w="35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Typ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Kern-Ø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Wellenlänge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Max. Reichweite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Einsatz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OM1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62,5 µm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850/1300 nm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275 m (1G) / 33 m (10G)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Veraltet, kurze Strecken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OM2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50 µm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850/1300 nm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550 m (1G) / 82 m (10G)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Ältere Gebäudeverkabelung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OM3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50 µm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850 nm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300 m (10G) / 100 m (40G)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Rechenzentrum, Gebäudeverkabelung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8"/>
                <w:szCs w:val="18"/>
              </w:rPr>
              <w:t xml:space="preserve">OM4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50 µm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850 nm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3F2FD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400 m (10G) / 150 m (40G)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Hochleistungs-Rechenzentrum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8"/>
                <w:szCs w:val="18"/>
              </w:rPr>
              <w:t xml:space="preserve">OS1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9 µm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1310/1550 nm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10 km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Innengebäude (Singlemode)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8"/>
                <w:szCs w:val="18"/>
              </w:rPr>
              <w:t xml:space="preserve">OS2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9 µm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1310/1550 nm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6"/>
                <w:szCs w:val="16"/>
              </w:rPr>
              <w:t xml:space="preserve">bis 80 km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Geländeverkabelung, WAN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5B2D8E" w:sz="8"/>
              <w:bottom w:val="single" w:color="CCCCCC" w:sz="1"/>
              <w:right w:val="single" w:color="CCCCCC" w:sz="1"/>
            </w:tcBorders>
            <w:shd w:fill="F3E5F5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🔵 Multimode (OM) = orange/aqua, kurze Strecken, günstig, mehrere Lichtpfade (Moden)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5B2D8E"/>
                <w:sz w:val="17"/>
                <w:szCs w:val="17"/>
              </w:rPr>
              <w:t xml:space="preserve">🟡 Singlemode (OS) = gelb, lange Strecken, teurer, ein Lichtpfad (ein Modus)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3. Stecker &amp; Anschlussbelegung – T568A und T568B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Beide Standards definieren die Pin-Belegung eines RJ45-Steckers. T568A ist ISO-Standard, T568B ist in den USA verbreitet und wird häufig in der Praxis verwendet.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93"/>
        <w:gridCol w:w="40"/>
        <w:gridCol w:w="449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"/>
            </w:tcMar>
          </w:tcPr>
          <w:tbl>
            <w:tblPr>
              <w:tblW w:type="dxa" w:w="449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00"/>
              <w:gridCol w:w="1600"/>
              <w:gridCol w:w="600"/>
              <w:gridCol w:w="1893"/>
            </w:tblGrid>
            <w:tr>
              <w:tc>
                <w:tcPr>
                  <w:gridSpan w:val="4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1A7A3C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9"/>
                      <w:szCs w:val="19"/>
                    </w:rPr>
                    <w:t xml:space="preserve">T568A (ISO/IEC Standard)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003366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FFFFFF"/>
                      <w:sz w:val="18"/>
                      <w:szCs w:val="18"/>
                    </w:rPr>
                    <w:t xml:space="preserve">Pin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003366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FFFFFF"/>
                      <w:sz w:val="18"/>
                      <w:szCs w:val="18"/>
                    </w:rPr>
                    <w:t xml:space="preserve">Farbe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003366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FFFFFF"/>
                      <w:sz w:val="18"/>
                      <w:szCs w:val="18"/>
                    </w:rPr>
                    <w:t xml:space="preserve">Paar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003366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FFFFFF"/>
                      <w:sz w:val="18"/>
                      <w:szCs w:val="18"/>
                    </w:rPr>
                    <w:t xml:space="preserve">10/100M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1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Weiß-Grün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A7A3C"/>
                      <w:sz w:val="16"/>
                      <w:szCs w:val="16"/>
                    </w:rPr>
                    <w:t xml:space="preserve">TX+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2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Grün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A7A3C"/>
                      <w:sz w:val="16"/>
                      <w:szCs w:val="16"/>
                    </w:rPr>
                    <w:t xml:space="preserve">TX-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3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Weiß-Orange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A7A3C"/>
                      <w:sz w:val="16"/>
                      <w:szCs w:val="16"/>
                    </w:rPr>
                    <w:t xml:space="preserve">RX+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4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Blau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888888"/>
                      <w:sz w:val="16"/>
                      <w:szCs w:val="16"/>
                    </w:rPr>
                    <w:t xml:space="preserve">–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5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Weiß-Blau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888888"/>
                      <w:sz w:val="16"/>
                      <w:szCs w:val="16"/>
                    </w:rPr>
                    <w:t xml:space="preserve">–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6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Orange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A7A3C"/>
                      <w:sz w:val="16"/>
                      <w:szCs w:val="16"/>
                    </w:rPr>
                    <w:t xml:space="preserve">RX-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7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Weiß-Braun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888888"/>
                      <w:sz w:val="16"/>
                      <w:szCs w:val="16"/>
                    </w:rPr>
                    <w:t xml:space="preserve">–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8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Braun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888888"/>
                      <w:sz w:val="16"/>
                      <w:szCs w:val="16"/>
                    </w:rPr>
                    <w:t xml:space="preserve">–</w:t>
                  </w:r>
                </w:p>
              </w:tc>
            </w:tr>
          </w:tbl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20"/>
              <w:bottom w:type="dxa" w:w="0"/>
              <w:right w:type="dxa" w:w="0"/>
            </w:tcMar>
          </w:tcPr>
          <w:tbl>
            <w:tblPr>
              <w:tblW w:type="dxa" w:w="449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00"/>
              <w:gridCol w:w="1600"/>
              <w:gridCol w:w="600"/>
              <w:gridCol w:w="1893"/>
            </w:tblGrid>
            <w:tr>
              <w:tc>
                <w:tcPr>
                  <w:gridSpan w:val="4"/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1A4A8A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19"/>
                      <w:szCs w:val="19"/>
                    </w:rPr>
                    <w:t xml:space="preserve">T568B (USA-Standard / TIA-568)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003366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FFFFFF"/>
                      <w:sz w:val="18"/>
                      <w:szCs w:val="18"/>
                    </w:rPr>
                    <w:t xml:space="preserve">Pin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003366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FFFFFF"/>
                      <w:sz w:val="18"/>
                      <w:szCs w:val="18"/>
                    </w:rPr>
                    <w:t xml:space="preserve">Farbe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003366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FFFFFF"/>
                      <w:sz w:val="18"/>
                      <w:szCs w:val="18"/>
                    </w:rPr>
                    <w:t xml:space="preserve">Paar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003366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FFFFFF"/>
                      <w:sz w:val="18"/>
                      <w:szCs w:val="18"/>
                    </w:rPr>
                    <w:t xml:space="preserve">10/100M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1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Weiß-Orange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A7A3C"/>
                      <w:sz w:val="16"/>
                      <w:szCs w:val="16"/>
                    </w:rPr>
                    <w:t xml:space="preserve">TX+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2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Orange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A7A3C"/>
                      <w:sz w:val="16"/>
                      <w:szCs w:val="16"/>
                    </w:rPr>
                    <w:t xml:space="preserve">TX-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3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Weiß-Grün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A7A3C"/>
                      <w:sz w:val="16"/>
                      <w:szCs w:val="16"/>
                    </w:rPr>
                    <w:t xml:space="preserve">RX+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4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Blau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888888"/>
                      <w:sz w:val="16"/>
                      <w:szCs w:val="16"/>
                    </w:rPr>
                    <w:t xml:space="preserve">–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5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Weiß-Blau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888888"/>
                      <w:sz w:val="16"/>
                      <w:szCs w:val="16"/>
                    </w:rPr>
                    <w:t xml:space="preserve">–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6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Grün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1A7A3C"/>
                      <w:sz w:val="16"/>
                      <w:szCs w:val="16"/>
                    </w:rPr>
                    <w:t xml:space="preserve">RX-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7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Weiß-Braun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EEF5FB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888888"/>
                      <w:sz w:val="16"/>
                      <w:szCs w:val="16"/>
                    </w:rPr>
                    <w:t xml:space="preserve">–</w:t>
                  </w:r>
                </w:p>
              </w:tc>
            </w:tr>
            <w:tr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/>
                      <w:bCs/>
                      <w:i w:val="false"/>
                      <w:iCs w:val="false"/>
                      <w:color w:val="000000"/>
                      <w:sz w:val="17"/>
                      <w:szCs w:val="17"/>
                    </w:rPr>
                    <w:t xml:space="preserve">8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lef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5"/>
                      <w:szCs w:val="15"/>
                    </w:rPr>
                    <w:t xml:space="preserve">Braun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Borders>
                    <w:top w:val="single" w:color="CCCCCC" w:sz="1"/>
                    <w:left w:val="single" w:color="CCCCCC" w:sz="1"/>
                    <w:bottom w:val="single" w:color="CCCCCC" w:sz="1"/>
                    <w:right w:val="single" w:color="CCCCCC" w:sz="1"/>
                  </w:tcBorders>
                  <w:shd w:fill="FFFFFF" w:val="clear"/>
                  <w:tcMar>
                    <w:top w:type="dxa" w:w="80"/>
                    <w:left w:type="dxa" w:w="140"/>
                    <w:bottom w:type="dxa" w:w="80"/>
                    <w:right w:type="dxa" w:w="14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i w:val="false"/>
                      <w:iCs w:val="false"/>
                      <w:color w:val="888888"/>
                      <w:sz w:val="16"/>
                      <w:szCs w:val="16"/>
                    </w:rPr>
                    <w:t xml:space="preserve">–</w:t>
                  </w:r>
                </w:p>
              </w:tc>
            </w:tr>
          </w:tbl>
          <w:p/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0066AA" w:sz="8"/>
              <w:bottom w:val="single" w:color="CCCCCC" w:sz="1"/>
              <w:right w:val="single" w:color="CCCCCC" w:sz="1"/>
            </w:tcBorders>
            <w:shd w:fill="D6E4F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🔀 Crossover-Kabel: Ein Ende T568A, anderes Ende T568B → für direkte PC-zu-PC-Verbindung.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   Heute kaum noch nötig, da moderne Switches und NICs Auto-MDI-X unterstützen.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003366"/>
                <w:sz w:val="17"/>
                <w:szCs w:val="17"/>
              </w:rPr>
              <w:t xml:space="preserve">✅ Wichtig: Innerhalb einer Anlage immer denselben Standard verwenden (keine Mischung)!</w:t>
            </w:r>
          </w:p>
        </w:tc>
      </w:tr>
    </w:tbl>
    <w:p>
      <w:pPr>
        <w:spacing w:before="80" w:after="80"/>
      </w:pPr>
      <w:r>
        <w:t xml:space="preserve"/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4. Maximale Segmentlängen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000"/>
        <w:gridCol w:w="1700"/>
        <w:gridCol w:w="37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Kanal-Element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Maximale Länge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Norm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Hinweis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Horizontale Verkabelung (fest)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8"/>
                <w:szCs w:val="18"/>
              </w:rPr>
              <w:t xml:space="preserve">90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EN50173 / ISO 11801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Vom Etagenverteiler bis zur Anschlussdose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Anschlussleitung Arbeitsplatz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8"/>
                <w:szCs w:val="18"/>
              </w:rPr>
              <w:t xml:space="preserve">10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EN50173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Patchkabel PC ↔ Dose + Patchkabel Verteiler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Gesamtkanal (Channel)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8"/>
                <w:szCs w:val="18"/>
              </w:rPr>
              <w:t xml:space="preserve">100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EN50173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= 90 m Festverkabelung + 10 m Patchkabel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Primärverkabelung (OS2)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8"/>
                <w:szCs w:val="18"/>
              </w:rPr>
              <w:t xml:space="preserve">1.500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EN50173-1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Gebäude zu Gebäude (Campus)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Primärverkabelung (OM3/4)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8"/>
                <w:szCs w:val="18"/>
              </w:rPr>
              <w:t xml:space="preserve">500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EN50173-1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Multimode zwischen Gebäuden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Sekundärverkabelung (OS2)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8"/>
                <w:szCs w:val="18"/>
              </w:rPr>
              <w:t xml:space="preserve">500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EN50173-1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Etage zu Gebäudeverteiler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10GBASE-T (Cat6)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8"/>
                <w:szCs w:val="18"/>
              </w:rPr>
              <w:t xml:space="preserve">55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IEEE 802.3an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Nur bei optimaler Installation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10GBASE-T (Cat6a)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0FDF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8"/>
                <w:szCs w:val="18"/>
              </w:rPr>
              <w:t xml:space="preserve">100 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595959"/>
                <w:sz w:val="15"/>
                <w:szCs w:val="15"/>
              </w:rPr>
              <w:t xml:space="preserve">IEEE 802.3an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5"/>
                <w:szCs w:val="15"/>
              </w:rPr>
              <w:t xml:space="preserve">Volle Länge für 10 Gbit/s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0066AA" w:sz="6" w:space="1"/>
        </w:pBdr>
        <w:spacing w:before="240" w:after="140"/>
      </w:pPr>
      <w:r>
        <w:rPr>
          <w:rFonts w:ascii="Calibri" w:cs="Calibri" w:eastAsia="Calibri" w:hAnsi="Calibri"/>
          <w:b/>
          <w:bCs/>
          <w:color w:val="003366"/>
          <w:sz w:val="26"/>
          <w:szCs w:val="26"/>
        </w:rPr>
        <w:t xml:space="preserve">5. Aktive und passive Netzwerkkomponenten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900"/>
        <w:gridCol w:w="4700"/>
        <w:gridCol w:w="142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Komponente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Aktiv / Passiv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Funktion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3366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OSI-Schicht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Patchkabel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Passiv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Verbindet Dose ↔ Gerät oder Patchfeld ↔ Switch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Patchfeld (Patch Panel)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Passiv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Strukturierte Kabelführung im Rack; Übergang fest/flexibel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Anschlussdose (TO)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EF5FB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Passiv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RJ45-Buchse an der Wand; Abschluss der Tertiärverkabelung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Kabelkanal / Trunking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95959"/>
                <w:sz w:val="17"/>
                <w:szCs w:val="17"/>
              </w:rPr>
              <w:t xml:space="preserve">Passiv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Mechanischer Kabelschutz und -führung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–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A5D00"/>
                <w:sz w:val="17"/>
                <w:szCs w:val="17"/>
              </w:rPr>
              <w:t xml:space="preserve">Hub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DF3D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Verteilt alle Signale an alle Ports (Broadcast-Domäne, veraltet)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Switch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E8F5E9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Vermittelt gezielt anhand MAC-Adressen (Layer 2)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7"/>
                <w:szCs w:val="17"/>
              </w:rPr>
              <w:t xml:space="preserve">Router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Verbindet Netze, leitet Pakete anhand IP-Routing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3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7"/>
                <w:szCs w:val="17"/>
              </w:rPr>
              <w:t xml:space="preserve">Access Point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D6E4F0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WLAN-Brücke: verbindet Funk- mit Kabelnetz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2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5B2D8E"/>
                <w:sz w:val="17"/>
                <w:szCs w:val="17"/>
              </w:rPr>
              <w:t xml:space="preserve">Medienkonverter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3E5F5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7A3C"/>
                <w:sz w:val="17"/>
                <w:szCs w:val="17"/>
              </w:rPr>
              <w:t xml:space="preserve">Aktiv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6"/>
                <w:szCs w:val="16"/>
              </w:rPr>
              <w:t xml:space="preserve">Wandelt Kupfer-Signal in Glasfaser-Signal um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AFAFA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66AA"/>
                <w:sz w:val="16"/>
                <w:szCs w:val="16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single" w:color="CCCCCC" w:sz="1"/>
              <w:left w:val="single" w:color="1A7A3C" w:sz="8"/>
              <w:bottom w:val="single" w:color="CCCCCC" w:sz="1"/>
              <w:right w:val="single" w:color="CCCCCC" w:sz="1"/>
            </w:tcBorders>
            <w:shd w:fill="E8F5E9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💡 Faustregel: Passive Komponenten verstärken/verarbeiten keine Signale – nur Führung/Anschluss.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Aktive Komponenten benötigen Strom und verarbeiten Signale elektronisch.</w:t>
            </w:r>
          </w:p>
          <w:p>
            <w:pPr>
              <w:spacing w:before="30" w:after="30"/>
            </w:pPr>
            <w:r>
              <w:rPr>
                <w:rFonts w:ascii="Calibri" w:cs="Calibri" w:eastAsia="Calibri" w:hAnsi="Calibri"/>
                <w:color w:val="1A7A3C"/>
                <w:sz w:val="17"/>
                <w:szCs w:val="17"/>
              </w:rPr>
              <w:t xml:space="preserve">IHK häufig gefragt: Hub (Schicht 1) vs. Switch (Schicht 2) vs. Router (Schicht 3).</w:t>
            </w:r>
          </w:p>
        </w:tc>
      </w:tr>
    </w:tbl>
    <w:p>
      <w:pPr>
        <w:spacing w:before="80" w:after="8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66AA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Merkzettel Verkabelung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66AA" w:sz="6" w:space="1"/>
      </w:pBdr>
      <w:spacing w:after="120"/>
    </w:pPr>
    <w:r>
      <w:rPr>
        <w:rFonts w:ascii="Calibri" w:cs="Calibri" w:eastAsia="Calibri" w:hAnsi="Calibri"/>
        <w:b/>
        <w:bCs/>
        <w:color w:val="003366"/>
        <w:sz w:val="20"/>
        <w:szCs w:val="20"/>
      </w:rPr>
      <w:t xml:space="preserve">LF3 – Netzwerktechnik  |  EN50173 – Strukturierte Verkabelung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2026-03-11T07:45:57.382Z</dcterms:created>
  <dcterms:modified xsi:type="dcterms:W3CDTF">2026-03-11T07:45:57.383Z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