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header+xml" PartName="/word/header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40"/>
      </w:pPr>
      <w:r>
        <w:rPr>
          <w:rFonts w:ascii="Calibri" w:cs="Calibri" w:eastAsia="Calibri" w:hAnsi="Calibri"/>
          <w:b/>
          <w:bCs/>
          <w:i w:val="false"/>
          <w:iCs w:val="false"/>
          <w:color w:val="003366"/>
          <w:sz w:val="34"/>
          <w:szCs w:val="34"/>
        </w:rPr>
        <w:t xml:space="preserve">Kaufvertrag und Vertragsstörungen</w:t>
      </w:r>
    </w:p>
    <w:p>
      <w:pPr>
        <w:spacing w:after="220"/>
      </w:pPr>
      <w:r>
        <w:rPr>
          <w:rFonts w:ascii="Calibri" w:cs="Calibri" w:eastAsia="Calibri" w:hAnsi="Calibri"/>
          <w:b w:val="false"/>
          <w:bCs w:val="false"/>
          <w:i w:val="false"/>
          <w:iCs w:val="false"/>
          <w:color w:val="0066AA"/>
          <w:sz w:val="22"/>
          <w:szCs w:val="22"/>
        </w:rPr>
        <w:t xml:space="preserve">Handout zur Beschaffung von IT-Arbeitsplätzen</w:t>
      </w:r>
    </w:p>
    <w:p>
      <w:pPr>
        <w:pStyle w:val="Heading1"/>
        <w:spacing w:after="130" w:before="300"/>
      </w:pPr>
      <w:r>
        <w:rPr>
          <w:rFonts w:ascii="Calibri" w:cs="Calibri" w:eastAsia="Calibri" w:hAnsi="Calibri"/>
          <w:b/>
          <w:bCs/>
          <w:i w:val="false"/>
          <w:iCs w:val="false"/>
          <w:color w:val="003366"/>
          <w:sz w:val="28"/>
          <w:szCs w:val="28"/>
        </w:rPr>
        <w:t xml:space="preserve">1  Der Kaufvertrag</w:t>
      </w:r>
    </w:p>
    <w:p>
      <w:pPr>
        <w:spacing w:after="100" w:before="0"/>
      </w:pPr>
      <w:r>
        <w:rPr>
          <w:rFonts w:ascii="Calibri" w:cs="Calibri" w:eastAsia="Calibri" w:hAnsi="Calibri"/>
          <w:b w:val="false"/>
          <w:bCs w:val="false"/>
          <w:i w:val="false"/>
          <w:iCs w:val="false"/>
          <w:color w:val="000000"/>
          <w:sz w:val="21"/>
          <w:szCs w:val="21"/>
        </w:rPr>
        <w:t xml:space="preserve">Ein Kaufvertrag kommt durch zwei übereinstimmende Willenserklärungen zustande: einen Antrag und dessen Annahme. Wer den Antrag stellt, ist an ihn gebunden.</w:t>
      </w:r>
    </w:p>
    <w:tbl>
      <w:tblPr>
        <w:tblW w:type="dxa" w:w="9638"/>
        <w:tblBorders>
          <w:top w:val="single" w:color="D6E4F0" w:sz="4"/>
          <w:left w:val="single" w:color="D6E4F0" w:sz="4"/>
          <w:bottom w:val="single" w:color="D6E4F0" w:sz="4"/>
          <w:right w:val="single" w:color="D6E4F0" w:sz="4"/>
          <w:insideH w:val="single" w:color="D6E4F0" w:sz="4"/>
          <w:insideV w:val="single" w:color="D6E4F0" w:sz="4"/>
        </w:tblBorders>
      </w:tblPr>
      <w:tblGrid>
        <w:gridCol w:w="2600"/>
        <w:gridCol w:w="7038"/>
      </w:tblGrid>
      <w:tr>
        <w:trPr>
          <w:tblHeader/>
        </w:trPr>
        <w:tc>
          <w:tcPr>
            <w:tcW w:type="dxa" w:w="2600"/>
            <w:shd w:fill="003366" w:color="auto" w:val="clear"/>
            <w:tcMar>
              <w:top w:type="dxa" w:w="70"/>
              <w:left w:type="dxa" w:w="120"/>
              <w:bottom w:type="dxa" w:w="70"/>
              <w:right w:type="dxa" w:w="120"/>
            </w:tcMar>
            <w:vAlign w:val="top"/>
          </w:tcPr>
          <w:p>
            <w:pPr>
              <w:spacing w:after="30" w:before="0"/>
            </w:pPr>
            <w:r>
              <w:rPr>
                <w:rFonts w:ascii="Calibri" w:cs="Calibri" w:eastAsia="Calibri" w:hAnsi="Calibri"/>
                <w:b/>
                <w:bCs/>
                <w:i w:val="false"/>
                <w:iCs w:val="false"/>
                <w:color w:val="FFFFFF"/>
                <w:sz w:val="21"/>
                <w:szCs w:val="21"/>
              </w:rPr>
              <w:t xml:space="preserve">Schritt</w:t>
            </w:r>
          </w:p>
        </w:tc>
        <w:tc>
          <w:tcPr>
            <w:tcW w:type="dxa" w:w="7038"/>
            <w:shd w:fill="003366" w:color="auto" w:val="clear"/>
            <w:tcMar>
              <w:top w:type="dxa" w:w="70"/>
              <w:left w:type="dxa" w:w="120"/>
              <w:bottom w:type="dxa" w:w="70"/>
              <w:right w:type="dxa" w:w="120"/>
            </w:tcMar>
            <w:vAlign w:val="top"/>
          </w:tcPr>
          <w:p>
            <w:pPr>
              <w:spacing w:after="30" w:before="0"/>
            </w:pPr>
            <w:r>
              <w:rPr>
                <w:rFonts w:ascii="Calibri" w:cs="Calibri" w:eastAsia="Calibri" w:hAnsi="Calibri"/>
                <w:b/>
                <w:bCs/>
                <w:i w:val="false"/>
                <w:iCs w:val="false"/>
                <w:color w:val="FFFFFF"/>
                <w:sz w:val="21"/>
                <w:szCs w:val="21"/>
              </w:rPr>
              <w:t xml:space="preserve">Bedeutung im Beschaffungsvorgang</w:t>
            </w:r>
          </w:p>
        </w:tc>
      </w:tr>
      <w:tr>
        <w:trPr>
          <w:cantSplit w:val="false"/>
        </w:trPr>
        <w:tc>
          <w:tcPr>
            <w:tcW w:type="dxa" w:w="2600"/>
            <w:tcMar>
              <w:top w:type="dxa" w:w="70"/>
              <w:left w:type="dxa" w:w="120"/>
              <w:bottom w:type="dxa" w:w="70"/>
              <w:right w:type="dxa" w:w="120"/>
            </w:tcMar>
            <w:vAlign w:val="top"/>
          </w:tcPr>
          <w:p>
            <w:pPr>
              <w:spacing w:after="30" w:before="0"/>
            </w:pPr>
            <w:r>
              <w:rPr>
                <w:rFonts w:ascii="Calibri" w:cs="Calibri" w:eastAsia="Calibri" w:hAnsi="Calibri"/>
                <w:b w:val="false"/>
                <w:bCs w:val="false"/>
                <w:i w:val="false"/>
                <w:iCs w:val="false"/>
                <w:color w:val="000000"/>
                <w:sz w:val="21"/>
                <w:szCs w:val="21"/>
              </w:rPr>
              <w:t xml:space="preserve">Anfrage</w:t>
            </w:r>
          </w:p>
        </w:tc>
        <w:tc>
          <w:tcPr>
            <w:tcW w:type="dxa" w:w="7038"/>
            <w:tcMar>
              <w:top w:type="dxa" w:w="70"/>
              <w:left w:type="dxa" w:w="120"/>
              <w:bottom w:type="dxa" w:w="70"/>
              <w:right w:type="dxa" w:w="120"/>
            </w:tcMar>
            <w:vAlign w:val="top"/>
          </w:tcPr>
          <w:p>
            <w:pPr>
              <w:spacing w:after="30" w:before="0"/>
            </w:pPr>
            <w:r>
              <w:rPr>
                <w:rFonts w:ascii="Calibri" w:cs="Calibri" w:eastAsia="Calibri" w:hAnsi="Calibri"/>
                <w:b w:val="false"/>
                <w:bCs w:val="false"/>
                <w:i w:val="false"/>
                <w:iCs w:val="false"/>
                <w:color w:val="000000"/>
                <w:sz w:val="21"/>
                <w:szCs w:val="21"/>
              </w:rPr>
              <w:t xml:space="preserve">Unverbindlich. Noch keine Willenserklärung, keine Bindung.</w:t>
            </w:r>
          </w:p>
        </w:tc>
      </w:tr>
      <w:tr>
        <w:trPr>
          <w:cantSplit w:val="false"/>
        </w:trPr>
        <w:tc>
          <w:tcPr>
            <w:tcW w:type="dxa" w:w="2600"/>
            <w:tcMar>
              <w:top w:type="dxa" w:w="70"/>
              <w:left w:type="dxa" w:w="120"/>
              <w:bottom w:type="dxa" w:w="70"/>
              <w:right w:type="dxa" w:w="120"/>
            </w:tcMar>
            <w:vAlign w:val="top"/>
          </w:tcPr>
          <w:p>
            <w:pPr>
              <w:spacing w:after="30" w:before="0"/>
            </w:pPr>
            <w:r>
              <w:rPr>
                <w:rFonts w:ascii="Calibri" w:cs="Calibri" w:eastAsia="Calibri" w:hAnsi="Calibri"/>
                <w:b w:val="false"/>
                <w:bCs w:val="false"/>
                <w:i w:val="false"/>
                <w:iCs w:val="false"/>
                <w:color w:val="000000"/>
                <w:sz w:val="21"/>
                <w:szCs w:val="21"/>
              </w:rPr>
              <w:t xml:space="preserve">Angebot</w:t>
            </w:r>
          </w:p>
        </w:tc>
        <w:tc>
          <w:tcPr>
            <w:tcW w:type="dxa" w:w="7038"/>
            <w:tcMar>
              <w:top w:type="dxa" w:w="70"/>
              <w:left w:type="dxa" w:w="120"/>
              <w:bottom w:type="dxa" w:w="70"/>
              <w:right w:type="dxa" w:w="120"/>
            </w:tcMar>
            <w:vAlign w:val="top"/>
          </w:tcPr>
          <w:p>
            <w:pPr>
              <w:spacing w:after="30" w:before="0"/>
            </w:pPr>
            <w:r>
              <w:rPr>
                <w:rFonts w:ascii="Calibri" w:cs="Calibri" w:eastAsia="Calibri" w:hAnsi="Calibri"/>
                <w:b w:val="false"/>
                <w:bCs w:val="false"/>
                <w:i w:val="false"/>
                <w:iCs w:val="false"/>
                <w:color w:val="000000"/>
                <w:sz w:val="21"/>
                <w:szCs w:val="21"/>
              </w:rPr>
              <w:t xml:space="preserve">Verbindliche Willenserklärung des Lieferanten. Freizeichnungsklauseln wie „freibleibend" heben die Bindung auf.</w:t>
            </w:r>
          </w:p>
        </w:tc>
      </w:tr>
      <w:tr>
        <w:trPr>
          <w:cantSplit w:val="false"/>
        </w:trPr>
        <w:tc>
          <w:tcPr>
            <w:tcW w:type="dxa" w:w="2600"/>
            <w:tcMar>
              <w:top w:type="dxa" w:w="70"/>
              <w:left w:type="dxa" w:w="120"/>
              <w:bottom w:type="dxa" w:w="70"/>
              <w:right w:type="dxa" w:w="120"/>
            </w:tcMar>
            <w:vAlign w:val="top"/>
          </w:tcPr>
          <w:p>
            <w:pPr>
              <w:spacing w:after="30" w:before="0"/>
            </w:pPr>
            <w:r>
              <w:rPr>
                <w:rFonts w:ascii="Calibri" w:cs="Calibri" w:eastAsia="Calibri" w:hAnsi="Calibri"/>
                <w:b w:val="false"/>
                <w:bCs w:val="false"/>
                <w:i w:val="false"/>
                <w:iCs w:val="false"/>
                <w:color w:val="000000"/>
                <w:sz w:val="21"/>
                <w:szCs w:val="21"/>
              </w:rPr>
              <w:t xml:space="preserve">Bestellung</w:t>
            </w:r>
          </w:p>
        </w:tc>
        <w:tc>
          <w:tcPr>
            <w:tcW w:type="dxa" w:w="7038"/>
            <w:tcMar>
              <w:top w:type="dxa" w:w="70"/>
              <w:left w:type="dxa" w:w="120"/>
              <w:bottom w:type="dxa" w:w="70"/>
              <w:right w:type="dxa" w:w="120"/>
            </w:tcMar>
            <w:vAlign w:val="top"/>
          </w:tcPr>
          <w:p>
            <w:pPr>
              <w:spacing w:after="30" w:before="0"/>
            </w:pPr>
            <w:r>
              <w:rPr>
                <w:rFonts w:ascii="Calibri" w:cs="Calibri" w:eastAsia="Calibri" w:hAnsi="Calibri"/>
                <w:b w:val="false"/>
                <w:bCs w:val="false"/>
                <w:i w:val="false"/>
                <w:iCs w:val="false"/>
                <w:color w:val="000000"/>
                <w:sz w:val="21"/>
                <w:szCs w:val="21"/>
              </w:rPr>
              <w:t xml:space="preserve">Verbindliche Willenserklärung der Kundenseite. Deckt sie sich mit dem Angebot, ist der Vertrag geschlossen.</w:t>
            </w:r>
          </w:p>
        </w:tc>
      </w:tr>
      <w:tr>
        <w:trPr>
          <w:cantSplit w:val="false"/>
        </w:trPr>
        <w:tc>
          <w:tcPr>
            <w:tcW w:type="dxa" w:w="2600"/>
            <w:tcMar>
              <w:top w:type="dxa" w:w="70"/>
              <w:left w:type="dxa" w:w="120"/>
              <w:bottom w:type="dxa" w:w="70"/>
              <w:right w:type="dxa" w:w="120"/>
            </w:tcMar>
            <w:vAlign w:val="top"/>
          </w:tcPr>
          <w:p>
            <w:pPr>
              <w:spacing w:after="30" w:before="0"/>
            </w:pPr>
            <w:r>
              <w:rPr>
                <w:rFonts w:ascii="Calibri" w:cs="Calibri" w:eastAsia="Calibri" w:hAnsi="Calibri"/>
                <w:b w:val="false"/>
                <w:bCs w:val="false"/>
                <w:i w:val="false"/>
                <w:iCs w:val="false"/>
                <w:color w:val="000000"/>
                <w:sz w:val="21"/>
                <w:szCs w:val="21"/>
              </w:rPr>
              <w:t xml:space="preserve">Auftragsbestätigung</w:t>
            </w:r>
          </w:p>
        </w:tc>
        <w:tc>
          <w:tcPr>
            <w:tcW w:type="dxa" w:w="7038"/>
            <w:tcMar>
              <w:top w:type="dxa" w:w="70"/>
              <w:left w:type="dxa" w:w="120"/>
              <w:bottom w:type="dxa" w:w="70"/>
              <w:right w:type="dxa" w:w="120"/>
            </w:tcMar>
            <w:vAlign w:val="top"/>
          </w:tcPr>
          <w:p>
            <w:pPr>
              <w:spacing w:after="30" w:before="0"/>
            </w:pPr>
            <w:r>
              <w:rPr>
                <w:rFonts w:ascii="Calibri" w:cs="Calibri" w:eastAsia="Calibri" w:hAnsi="Calibri"/>
                <w:b w:val="false"/>
                <w:bCs w:val="false"/>
                <w:i w:val="false"/>
                <w:iCs w:val="false"/>
                <w:color w:val="000000"/>
                <w:sz w:val="21"/>
                <w:szCs w:val="21"/>
              </w:rPr>
              <w:t xml:space="preserve">Bestätigt den Vertragsschluss. Weicht sie inhaltlich ab, ist sie ein neues Angebot.</w:t>
            </w:r>
          </w:p>
        </w:tc>
      </w:tr>
      <w:tr>
        <w:trPr>
          <w:cantSplit w:val="false"/>
        </w:trPr>
        <w:tc>
          <w:tcPr>
            <w:tcW w:type="dxa" w:w="2600"/>
            <w:tcMar>
              <w:top w:type="dxa" w:w="70"/>
              <w:left w:type="dxa" w:w="120"/>
              <w:bottom w:type="dxa" w:w="70"/>
              <w:right w:type="dxa" w:w="120"/>
            </w:tcMar>
            <w:vAlign w:val="top"/>
          </w:tcPr>
          <w:p>
            <w:pPr>
              <w:spacing w:after="30" w:before="0"/>
            </w:pPr>
            <w:r>
              <w:rPr>
                <w:rFonts w:ascii="Calibri" w:cs="Calibri" w:eastAsia="Calibri" w:hAnsi="Calibri"/>
                <w:b w:val="false"/>
                <w:bCs w:val="false"/>
                <w:i w:val="false"/>
                <w:iCs w:val="false"/>
                <w:color w:val="000000"/>
                <w:sz w:val="21"/>
                <w:szCs w:val="21"/>
              </w:rPr>
              <w:t xml:space="preserve">Lieferung und Rechnung</w:t>
            </w:r>
          </w:p>
        </w:tc>
        <w:tc>
          <w:tcPr>
            <w:tcW w:type="dxa" w:w="7038"/>
            <w:tcMar>
              <w:top w:type="dxa" w:w="70"/>
              <w:left w:type="dxa" w:w="120"/>
              <w:bottom w:type="dxa" w:w="70"/>
              <w:right w:type="dxa" w:w="120"/>
            </w:tcMar>
            <w:vAlign w:val="top"/>
          </w:tcPr>
          <w:p>
            <w:pPr>
              <w:spacing w:after="30" w:before="0"/>
            </w:pPr>
            <w:r>
              <w:rPr>
                <w:rFonts w:ascii="Calibri" w:cs="Calibri" w:eastAsia="Calibri" w:hAnsi="Calibri"/>
                <w:b w:val="false"/>
                <w:bCs w:val="false"/>
                <w:i w:val="false"/>
                <w:iCs w:val="false"/>
                <w:color w:val="000000"/>
                <w:sz w:val="21"/>
                <w:szCs w:val="21"/>
              </w:rPr>
              <w:t xml:space="preserve">Erfüllung der beiderseitigen Pflichten.</w:t>
            </w:r>
          </w:p>
        </w:tc>
      </w:tr>
    </w:tbl>
    <w:p>
      <w:pPr>
        <w:spacing w:after="0" w:before="0"/>
      </w:pPr>
      <w:r>
        <w:rPr>
          <w:rFonts w:ascii="Calibri" w:cs="Calibri" w:eastAsia="Calibri" w:hAnsi="Calibri"/>
          <w:b w:val="false"/>
          <w:bCs w:val="false"/>
          <w:i w:val="false"/>
          <w:iCs w:val="false"/>
          <w:color w:val="000000"/>
          <w:sz w:val="21"/>
          <w:szCs w:val="21"/>
        </w:rPr>
        <w:t xml:space="preserve"/>
      </w:r>
    </w:p>
    <w:p>
      <w:pPr>
        <w:pStyle w:val="Heading2"/>
        <w:spacing w:after="100" w:before="240"/>
      </w:pPr>
      <w:r>
        <w:rPr>
          <w:rFonts w:ascii="Calibri" w:cs="Calibri" w:eastAsia="Calibri" w:hAnsi="Calibri"/>
          <w:b/>
          <w:bCs/>
          <w:i w:val="false"/>
          <w:iCs w:val="false"/>
          <w:color w:val="0066AA"/>
          <w:sz w:val="24"/>
          <w:szCs w:val="24"/>
        </w:rPr>
        <w:t xml:space="preserve">Pflichten der Vertragsparteien</w:t>
      </w:r>
    </w:p>
    <w:tbl>
      <w:tblPr>
        <w:tblW w:type="dxa" w:w="9638"/>
        <w:tblBorders>
          <w:top w:val="single" w:color="D6E4F0" w:sz="4"/>
          <w:left w:val="single" w:color="D6E4F0" w:sz="4"/>
          <w:bottom w:val="single" w:color="D6E4F0" w:sz="4"/>
          <w:right w:val="single" w:color="D6E4F0" w:sz="4"/>
          <w:insideH w:val="single" w:color="D6E4F0" w:sz="4"/>
          <w:insideV w:val="single" w:color="D6E4F0" w:sz="4"/>
        </w:tblBorders>
      </w:tblPr>
      <w:tblGrid>
        <w:gridCol w:w="4819"/>
        <w:gridCol w:w="4819"/>
      </w:tblGrid>
      <w:tr>
        <w:trPr>
          <w:tblHeader/>
        </w:trPr>
        <w:tc>
          <w:tcPr>
            <w:tcW w:type="dxa" w:w="4819"/>
            <w:shd w:fill="003366" w:color="auto" w:val="clear"/>
            <w:tcMar>
              <w:top w:type="dxa" w:w="70"/>
              <w:left w:type="dxa" w:w="120"/>
              <w:bottom w:type="dxa" w:w="70"/>
              <w:right w:type="dxa" w:w="120"/>
            </w:tcMar>
            <w:vAlign w:val="top"/>
          </w:tcPr>
          <w:p>
            <w:pPr>
              <w:spacing w:after="30" w:before="0"/>
            </w:pPr>
            <w:r>
              <w:rPr>
                <w:rFonts w:ascii="Calibri" w:cs="Calibri" w:eastAsia="Calibri" w:hAnsi="Calibri"/>
                <w:b/>
                <w:bCs/>
                <w:i w:val="false"/>
                <w:iCs w:val="false"/>
                <w:color w:val="FFFFFF"/>
                <w:sz w:val="21"/>
                <w:szCs w:val="21"/>
              </w:rPr>
              <w:t xml:space="preserve">Verkäufer</w:t>
            </w:r>
          </w:p>
        </w:tc>
        <w:tc>
          <w:tcPr>
            <w:tcW w:type="dxa" w:w="4819"/>
            <w:shd w:fill="003366" w:color="auto" w:val="clear"/>
            <w:tcMar>
              <w:top w:type="dxa" w:w="70"/>
              <w:left w:type="dxa" w:w="120"/>
              <w:bottom w:type="dxa" w:w="70"/>
              <w:right w:type="dxa" w:w="120"/>
            </w:tcMar>
            <w:vAlign w:val="top"/>
          </w:tcPr>
          <w:p>
            <w:pPr>
              <w:spacing w:after="30" w:before="0"/>
            </w:pPr>
            <w:r>
              <w:rPr>
                <w:rFonts w:ascii="Calibri" w:cs="Calibri" w:eastAsia="Calibri" w:hAnsi="Calibri"/>
                <w:b/>
                <w:bCs/>
                <w:i w:val="false"/>
                <w:iCs w:val="false"/>
                <w:color w:val="FFFFFF"/>
                <w:sz w:val="21"/>
                <w:szCs w:val="21"/>
              </w:rPr>
              <w:t xml:space="preserve">Käufer</w:t>
            </w:r>
          </w:p>
        </w:tc>
      </w:tr>
      <w:tr>
        <w:trPr>
          <w:cantSplit w:val="false"/>
        </w:trPr>
        <w:tc>
          <w:tcPr>
            <w:tcW w:type="dxa" w:w="4819"/>
            <w:tcMar>
              <w:top w:type="dxa" w:w="70"/>
              <w:left w:type="dxa" w:w="120"/>
              <w:bottom w:type="dxa" w:w="70"/>
              <w:right w:type="dxa" w:w="120"/>
            </w:tcMar>
            <w:vAlign w:val="top"/>
          </w:tcPr>
          <w:p>
            <w:pPr>
              <w:spacing w:after="30" w:before="0"/>
            </w:pPr>
            <w:r>
              <w:rPr>
                <w:rFonts w:ascii="Calibri" w:cs="Calibri" w:eastAsia="Calibri" w:hAnsi="Calibri"/>
                <w:b w:val="false"/>
                <w:bCs w:val="false"/>
                <w:i w:val="false"/>
                <w:iCs w:val="false"/>
                <w:color w:val="000000"/>
                <w:sz w:val="21"/>
                <w:szCs w:val="21"/>
              </w:rPr>
              <w:t xml:space="preserve">Die Sache übergeben und das Eigentum verschaffen</w:t>
            </w:r>
          </w:p>
          <w:p>
            <w:pPr>
              <w:spacing w:after="30" w:before="0"/>
            </w:pPr>
            <w:r>
              <w:rPr>
                <w:rFonts w:ascii="Calibri" w:cs="Calibri" w:eastAsia="Calibri" w:hAnsi="Calibri"/>
                <w:b w:val="false"/>
                <w:bCs w:val="false"/>
                <w:i w:val="false"/>
                <w:iCs w:val="false"/>
                <w:color w:val="000000"/>
                <w:sz w:val="21"/>
                <w:szCs w:val="21"/>
              </w:rPr>
              <w:t xml:space="preserve">Die Sache frei von Sach- und Rechtsmängeln übergeben</w:t>
            </w:r>
          </w:p>
        </w:tc>
        <w:tc>
          <w:tcPr>
            <w:tcW w:type="dxa" w:w="4819"/>
            <w:tcMar>
              <w:top w:type="dxa" w:w="70"/>
              <w:left w:type="dxa" w:w="120"/>
              <w:bottom w:type="dxa" w:w="70"/>
              <w:right w:type="dxa" w:w="120"/>
            </w:tcMar>
            <w:vAlign w:val="top"/>
          </w:tcPr>
          <w:p>
            <w:pPr>
              <w:spacing w:after="30" w:before="0"/>
            </w:pPr>
            <w:r>
              <w:rPr>
                <w:rFonts w:ascii="Calibri" w:cs="Calibri" w:eastAsia="Calibri" w:hAnsi="Calibri"/>
                <w:b w:val="false"/>
                <w:bCs w:val="false"/>
                <w:i w:val="false"/>
                <w:iCs w:val="false"/>
                <w:color w:val="000000"/>
                <w:sz w:val="21"/>
                <w:szCs w:val="21"/>
              </w:rPr>
              <w:t xml:space="preserve">Den vereinbarten Kaufpreis zahlen</w:t>
            </w:r>
          </w:p>
          <w:p>
            <w:pPr>
              <w:spacing w:after="30" w:before="0"/>
            </w:pPr>
            <w:r>
              <w:rPr>
                <w:rFonts w:ascii="Calibri" w:cs="Calibri" w:eastAsia="Calibri" w:hAnsi="Calibri"/>
                <w:b w:val="false"/>
                <w:bCs w:val="false"/>
                <w:i w:val="false"/>
                <w:iCs w:val="false"/>
                <w:color w:val="000000"/>
                <w:sz w:val="21"/>
                <w:szCs w:val="21"/>
              </w:rPr>
              <w:t xml:space="preserve">Die gelieferte Sache abnehmen</w:t>
            </w:r>
          </w:p>
        </w:tc>
      </w:tr>
    </w:tbl>
    <w:p>
      <w:pPr>
        <w:spacing w:after="0" w:before="0"/>
      </w:pPr>
      <w:r>
        <w:rPr>
          <w:rFonts w:ascii="Calibri" w:cs="Calibri" w:eastAsia="Calibri" w:hAnsi="Calibri"/>
          <w:b w:val="false"/>
          <w:bCs w:val="false"/>
          <w:i w:val="false"/>
          <w:iCs w:val="false"/>
          <w:color w:val="000000"/>
          <w:sz w:val="21"/>
          <w:szCs w:val="21"/>
        </w:rPr>
        <w:t xml:space="preserve"/>
      </w:r>
    </w:p>
    <w:p>
      <w:pPr>
        <w:pBdr>
          <w:left w:val="single" w:color="F0A500" w:sz="18"/>
        </w:pBdr>
        <w:shd w:fill="FFF4DC" w:color="auto" w:val="clear"/>
        <w:spacing w:after="140" w:before="140"/>
        <w:ind w:left="200" w:right="100"/>
      </w:pPr>
      <w:r>
        <w:rPr>
          <w:rFonts w:ascii="Calibri" w:cs="Calibri" w:eastAsia="Calibri" w:hAnsi="Calibri"/>
          <w:b w:val="false"/>
          <w:bCs w:val="false"/>
          <w:i/>
          <w:iCs/>
          <w:color w:val="000000"/>
          <w:sz w:val="21"/>
          <w:szCs w:val="21"/>
        </w:rPr>
        <w:t xml:space="preserve">Rechtsgrundlage: § 433 BGB. Die allgemeinen Grundlagen zu Rechtsgeschäft, Willenserklärung und Geschäftsfähigkeit werden hier vorausgesetzt.</w:t>
      </w:r>
    </w:p>
    <w:p>
      <w:pPr>
        <w:pStyle w:val="Heading1"/>
        <w:spacing w:after="130" w:before="300"/>
      </w:pPr>
      <w:r>
        <w:rPr>
          <w:rFonts w:ascii="Calibri" w:cs="Calibri" w:eastAsia="Calibri" w:hAnsi="Calibri"/>
          <w:b/>
          <w:bCs/>
          <w:i w:val="false"/>
          <w:iCs w:val="false"/>
          <w:color w:val="003366"/>
          <w:sz w:val="28"/>
          <w:szCs w:val="28"/>
        </w:rPr>
        <w:t xml:space="preserve">2  Vertragsstörungen im Überblick</w:t>
      </w:r>
    </w:p>
    <w:p>
      <w:pPr>
        <w:spacing w:after="100" w:before="0"/>
      </w:pPr>
      <w:r>
        <w:rPr>
          <w:rFonts w:ascii="Calibri" w:cs="Calibri" w:eastAsia="Calibri" w:hAnsi="Calibri"/>
          <w:b w:val="false"/>
          <w:bCs w:val="false"/>
          <w:i w:val="false"/>
          <w:iCs w:val="false"/>
          <w:color w:val="000000"/>
          <w:sz w:val="21"/>
          <w:szCs w:val="21"/>
        </w:rPr>
        <w:t xml:space="preserve">Eine Vertragsstörung liegt vor, wenn eine Partei ihre Pflichten nicht, nicht rechtzeitig oder nicht richtig erfüllt. Für die Beschaffung eines IT-Arbeitsplatzes sind vier Fälle wichtig.</w:t>
      </w:r>
    </w:p>
    <w:tbl>
      <w:tblPr>
        <w:tblW w:type="dxa" w:w="9638"/>
        <w:tblBorders>
          <w:top w:val="single" w:color="D6E4F0" w:sz="4"/>
          <w:left w:val="single" w:color="D6E4F0" w:sz="4"/>
          <w:bottom w:val="single" w:color="D6E4F0" w:sz="4"/>
          <w:right w:val="single" w:color="D6E4F0" w:sz="4"/>
          <w:insideH w:val="single" w:color="D6E4F0" w:sz="4"/>
          <w:insideV w:val="single" w:color="D6E4F0" w:sz="4"/>
        </w:tblBorders>
      </w:tblPr>
      <w:tblGrid>
        <w:gridCol w:w="2400"/>
        <w:gridCol w:w="3600"/>
        <w:gridCol w:w="3638"/>
      </w:tblGrid>
      <w:tr>
        <w:trPr>
          <w:tblHeader/>
        </w:trPr>
        <w:tc>
          <w:tcPr>
            <w:tcW w:type="dxa" w:w="2400"/>
            <w:shd w:fill="003366" w:color="auto" w:val="clear"/>
            <w:tcMar>
              <w:top w:type="dxa" w:w="70"/>
              <w:left w:type="dxa" w:w="120"/>
              <w:bottom w:type="dxa" w:w="70"/>
              <w:right w:type="dxa" w:w="120"/>
            </w:tcMar>
            <w:vAlign w:val="top"/>
          </w:tcPr>
          <w:p>
            <w:pPr>
              <w:spacing w:after="30" w:before="0"/>
            </w:pPr>
            <w:r>
              <w:rPr>
                <w:rFonts w:ascii="Calibri" w:cs="Calibri" w:eastAsia="Calibri" w:hAnsi="Calibri"/>
                <w:b/>
                <w:bCs/>
                <w:i w:val="false"/>
                <w:iCs w:val="false"/>
                <w:color w:val="FFFFFF"/>
                <w:sz w:val="21"/>
                <w:szCs w:val="21"/>
              </w:rPr>
              <w:t xml:space="preserve">Störung</w:t>
            </w:r>
          </w:p>
        </w:tc>
        <w:tc>
          <w:tcPr>
            <w:tcW w:type="dxa" w:w="3600"/>
            <w:shd w:fill="003366" w:color="auto" w:val="clear"/>
            <w:tcMar>
              <w:top w:type="dxa" w:w="70"/>
              <w:left w:type="dxa" w:w="120"/>
              <w:bottom w:type="dxa" w:w="70"/>
              <w:right w:type="dxa" w:w="120"/>
            </w:tcMar>
            <w:vAlign w:val="top"/>
          </w:tcPr>
          <w:p>
            <w:pPr>
              <w:spacing w:after="30" w:before="0"/>
            </w:pPr>
            <w:r>
              <w:rPr>
                <w:rFonts w:ascii="Calibri" w:cs="Calibri" w:eastAsia="Calibri" w:hAnsi="Calibri"/>
                <w:b/>
                <w:bCs/>
                <w:i w:val="false"/>
                <w:iCs w:val="false"/>
                <w:color w:val="FFFFFF"/>
                <w:sz w:val="21"/>
                <w:szCs w:val="21"/>
              </w:rPr>
              <w:t xml:space="preserve">Was ist passiert</w:t>
            </w:r>
          </w:p>
        </w:tc>
        <w:tc>
          <w:tcPr>
            <w:tcW w:type="dxa" w:w="3638"/>
            <w:shd w:fill="003366" w:color="auto" w:val="clear"/>
            <w:tcMar>
              <w:top w:type="dxa" w:w="70"/>
              <w:left w:type="dxa" w:w="120"/>
              <w:bottom w:type="dxa" w:w="70"/>
              <w:right w:type="dxa" w:w="120"/>
            </w:tcMar>
            <w:vAlign w:val="top"/>
          </w:tcPr>
          <w:p>
            <w:pPr>
              <w:spacing w:after="30" w:before="0"/>
            </w:pPr>
            <w:r>
              <w:rPr>
                <w:rFonts w:ascii="Calibri" w:cs="Calibri" w:eastAsia="Calibri" w:hAnsi="Calibri"/>
                <w:b/>
                <w:bCs/>
                <w:i w:val="false"/>
                <w:iCs w:val="false"/>
                <w:color w:val="FFFFFF"/>
                <w:sz w:val="21"/>
                <w:szCs w:val="21"/>
              </w:rPr>
              <w:t xml:space="preserve">Wer ist betroffen</w:t>
            </w:r>
          </w:p>
        </w:tc>
      </w:tr>
      <w:tr>
        <w:trPr>
          <w:cantSplit w:val="false"/>
        </w:trPr>
        <w:tc>
          <w:tcPr>
            <w:tcW w:type="dxa" w:w="2400"/>
            <w:tcMar>
              <w:top w:type="dxa" w:w="70"/>
              <w:left w:type="dxa" w:w="120"/>
              <w:bottom w:type="dxa" w:w="70"/>
              <w:right w:type="dxa" w:w="120"/>
            </w:tcMar>
            <w:vAlign w:val="top"/>
          </w:tcPr>
          <w:p>
            <w:pPr>
              <w:spacing w:after="30" w:before="0"/>
            </w:pPr>
            <w:r>
              <w:rPr>
                <w:rFonts w:ascii="Calibri" w:cs="Calibri" w:eastAsia="Calibri" w:hAnsi="Calibri"/>
                <w:b w:val="false"/>
                <w:bCs w:val="false"/>
                <w:i w:val="false"/>
                <w:iCs w:val="false"/>
                <w:color w:val="000000"/>
                <w:sz w:val="21"/>
                <w:szCs w:val="21"/>
              </w:rPr>
              <w:t xml:space="preserve">Mangelhafte Lieferung</w:t>
            </w:r>
          </w:p>
        </w:tc>
        <w:tc>
          <w:tcPr>
            <w:tcW w:type="dxa" w:w="3600"/>
            <w:tcMar>
              <w:top w:type="dxa" w:w="70"/>
              <w:left w:type="dxa" w:w="120"/>
              <w:bottom w:type="dxa" w:w="70"/>
              <w:right w:type="dxa" w:w="120"/>
            </w:tcMar>
            <w:vAlign w:val="top"/>
          </w:tcPr>
          <w:p>
            <w:pPr>
              <w:spacing w:after="30" w:before="0"/>
            </w:pPr>
            <w:r>
              <w:rPr>
                <w:rFonts w:ascii="Calibri" w:cs="Calibri" w:eastAsia="Calibri" w:hAnsi="Calibri"/>
                <w:b w:val="false"/>
                <w:bCs w:val="false"/>
                <w:i w:val="false"/>
                <w:iCs w:val="false"/>
                <w:color w:val="000000"/>
                <w:sz w:val="21"/>
                <w:szCs w:val="21"/>
              </w:rPr>
              <w:t xml:space="preserve">Die Ware entspricht nicht der Vereinbarung</w:t>
            </w:r>
          </w:p>
        </w:tc>
        <w:tc>
          <w:tcPr>
            <w:tcW w:type="dxa" w:w="3638"/>
            <w:tcMar>
              <w:top w:type="dxa" w:w="70"/>
              <w:left w:type="dxa" w:w="120"/>
              <w:bottom w:type="dxa" w:w="70"/>
              <w:right w:type="dxa" w:w="120"/>
            </w:tcMar>
            <w:vAlign w:val="top"/>
          </w:tcPr>
          <w:p>
            <w:pPr>
              <w:spacing w:after="30" w:before="0"/>
            </w:pPr>
            <w:r>
              <w:rPr>
                <w:rFonts w:ascii="Calibri" w:cs="Calibri" w:eastAsia="Calibri" w:hAnsi="Calibri"/>
                <w:b w:val="false"/>
                <w:bCs w:val="false"/>
                <w:i w:val="false"/>
                <w:iCs w:val="false"/>
                <w:color w:val="000000"/>
                <w:sz w:val="21"/>
                <w:szCs w:val="21"/>
              </w:rPr>
              <w:t xml:space="preserve">Käufer</w:t>
            </w:r>
          </w:p>
        </w:tc>
      </w:tr>
      <w:tr>
        <w:trPr>
          <w:cantSplit w:val="false"/>
        </w:trPr>
        <w:tc>
          <w:tcPr>
            <w:tcW w:type="dxa" w:w="2400"/>
            <w:tcMar>
              <w:top w:type="dxa" w:w="70"/>
              <w:left w:type="dxa" w:w="120"/>
              <w:bottom w:type="dxa" w:w="70"/>
              <w:right w:type="dxa" w:w="120"/>
            </w:tcMar>
            <w:vAlign w:val="top"/>
          </w:tcPr>
          <w:p>
            <w:pPr>
              <w:spacing w:after="30" w:before="0"/>
            </w:pPr>
            <w:r>
              <w:rPr>
                <w:rFonts w:ascii="Calibri" w:cs="Calibri" w:eastAsia="Calibri" w:hAnsi="Calibri"/>
                <w:b w:val="false"/>
                <w:bCs w:val="false"/>
                <w:i w:val="false"/>
                <w:iCs w:val="false"/>
                <w:color w:val="000000"/>
                <w:sz w:val="21"/>
                <w:szCs w:val="21"/>
              </w:rPr>
              <w:t xml:space="preserve">Lieferungsverzug</w:t>
            </w:r>
          </w:p>
        </w:tc>
        <w:tc>
          <w:tcPr>
            <w:tcW w:type="dxa" w:w="3600"/>
            <w:tcMar>
              <w:top w:type="dxa" w:w="70"/>
              <w:left w:type="dxa" w:w="120"/>
              <w:bottom w:type="dxa" w:w="70"/>
              <w:right w:type="dxa" w:w="120"/>
            </w:tcMar>
            <w:vAlign w:val="top"/>
          </w:tcPr>
          <w:p>
            <w:pPr>
              <w:spacing w:after="30" w:before="0"/>
            </w:pPr>
            <w:r>
              <w:rPr>
                <w:rFonts w:ascii="Calibri" w:cs="Calibri" w:eastAsia="Calibri" w:hAnsi="Calibri"/>
                <w:b w:val="false"/>
                <w:bCs w:val="false"/>
                <w:i w:val="false"/>
                <w:iCs w:val="false"/>
                <w:color w:val="000000"/>
                <w:sz w:val="21"/>
                <w:szCs w:val="21"/>
              </w:rPr>
              <w:t xml:space="preserve">Die Ware kommt zu spät</w:t>
            </w:r>
          </w:p>
        </w:tc>
        <w:tc>
          <w:tcPr>
            <w:tcW w:type="dxa" w:w="3638"/>
            <w:tcMar>
              <w:top w:type="dxa" w:w="70"/>
              <w:left w:type="dxa" w:w="120"/>
              <w:bottom w:type="dxa" w:w="70"/>
              <w:right w:type="dxa" w:w="120"/>
            </w:tcMar>
            <w:vAlign w:val="top"/>
          </w:tcPr>
          <w:p>
            <w:pPr>
              <w:spacing w:after="30" w:before="0"/>
            </w:pPr>
            <w:r>
              <w:rPr>
                <w:rFonts w:ascii="Calibri" w:cs="Calibri" w:eastAsia="Calibri" w:hAnsi="Calibri"/>
                <w:b w:val="false"/>
                <w:bCs w:val="false"/>
                <w:i w:val="false"/>
                <w:iCs w:val="false"/>
                <w:color w:val="000000"/>
                <w:sz w:val="21"/>
                <w:szCs w:val="21"/>
              </w:rPr>
              <w:t xml:space="preserve">Käufer</w:t>
            </w:r>
          </w:p>
        </w:tc>
      </w:tr>
      <w:tr>
        <w:trPr>
          <w:cantSplit w:val="false"/>
        </w:trPr>
        <w:tc>
          <w:tcPr>
            <w:tcW w:type="dxa" w:w="2400"/>
            <w:tcMar>
              <w:top w:type="dxa" w:w="70"/>
              <w:left w:type="dxa" w:w="120"/>
              <w:bottom w:type="dxa" w:w="70"/>
              <w:right w:type="dxa" w:w="120"/>
            </w:tcMar>
            <w:vAlign w:val="top"/>
          </w:tcPr>
          <w:p>
            <w:pPr>
              <w:spacing w:after="30" w:before="0"/>
            </w:pPr>
            <w:r>
              <w:rPr>
                <w:rFonts w:ascii="Calibri" w:cs="Calibri" w:eastAsia="Calibri" w:hAnsi="Calibri"/>
                <w:b w:val="false"/>
                <w:bCs w:val="false"/>
                <w:i w:val="false"/>
                <w:iCs w:val="false"/>
                <w:color w:val="000000"/>
                <w:sz w:val="21"/>
                <w:szCs w:val="21"/>
              </w:rPr>
              <w:t xml:space="preserve">Annahmeverzug</w:t>
            </w:r>
          </w:p>
        </w:tc>
        <w:tc>
          <w:tcPr>
            <w:tcW w:type="dxa" w:w="3600"/>
            <w:tcMar>
              <w:top w:type="dxa" w:w="70"/>
              <w:left w:type="dxa" w:w="120"/>
              <w:bottom w:type="dxa" w:w="70"/>
              <w:right w:type="dxa" w:w="120"/>
            </w:tcMar>
            <w:vAlign w:val="top"/>
          </w:tcPr>
          <w:p>
            <w:pPr>
              <w:spacing w:after="30" w:before="0"/>
            </w:pPr>
            <w:r>
              <w:rPr>
                <w:rFonts w:ascii="Calibri" w:cs="Calibri" w:eastAsia="Calibri" w:hAnsi="Calibri"/>
                <w:b w:val="false"/>
                <w:bCs w:val="false"/>
                <w:i w:val="false"/>
                <w:iCs w:val="false"/>
                <w:color w:val="000000"/>
                <w:sz w:val="21"/>
                <w:szCs w:val="21"/>
              </w:rPr>
              <w:t xml:space="preserve">Der Käufer nimmt die Ware nicht an</w:t>
            </w:r>
          </w:p>
        </w:tc>
        <w:tc>
          <w:tcPr>
            <w:tcW w:type="dxa" w:w="3638"/>
            <w:tcMar>
              <w:top w:type="dxa" w:w="70"/>
              <w:left w:type="dxa" w:w="120"/>
              <w:bottom w:type="dxa" w:w="70"/>
              <w:right w:type="dxa" w:w="120"/>
            </w:tcMar>
            <w:vAlign w:val="top"/>
          </w:tcPr>
          <w:p>
            <w:pPr>
              <w:spacing w:after="30" w:before="0"/>
            </w:pPr>
            <w:r>
              <w:rPr>
                <w:rFonts w:ascii="Calibri" w:cs="Calibri" w:eastAsia="Calibri" w:hAnsi="Calibri"/>
                <w:b w:val="false"/>
                <w:bCs w:val="false"/>
                <w:i w:val="false"/>
                <w:iCs w:val="false"/>
                <w:color w:val="000000"/>
                <w:sz w:val="21"/>
                <w:szCs w:val="21"/>
              </w:rPr>
              <w:t xml:space="preserve">Verkäufer</w:t>
            </w:r>
          </w:p>
        </w:tc>
      </w:tr>
      <w:tr>
        <w:trPr>
          <w:cantSplit w:val="false"/>
        </w:trPr>
        <w:tc>
          <w:tcPr>
            <w:tcW w:type="dxa" w:w="2400"/>
            <w:tcMar>
              <w:top w:type="dxa" w:w="70"/>
              <w:left w:type="dxa" w:w="120"/>
              <w:bottom w:type="dxa" w:w="70"/>
              <w:right w:type="dxa" w:w="120"/>
            </w:tcMar>
            <w:vAlign w:val="top"/>
          </w:tcPr>
          <w:p>
            <w:pPr>
              <w:spacing w:after="30" w:before="0"/>
            </w:pPr>
            <w:r>
              <w:rPr>
                <w:rFonts w:ascii="Calibri" w:cs="Calibri" w:eastAsia="Calibri" w:hAnsi="Calibri"/>
                <w:b w:val="false"/>
                <w:bCs w:val="false"/>
                <w:i w:val="false"/>
                <w:iCs w:val="false"/>
                <w:color w:val="000000"/>
                <w:sz w:val="21"/>
                <w:szCs w:val="21"/>
              </w:rPr>
              <w:t xml:space="preserve">Zahlungsverzug</w:t>
            </w:r>
          </w:p>
        </w:tc>
        <w:tc>
          <w:tcPr>
            <w:tcW w:type="dxa" w:w="3600"/>
            <w:tcMar>
              <w:top w:type="dxa" w:w="70"/>
              <w:left w:type="dxa" w:w="120"/>
              <w:bottom w:type="dxa" w:w="70"/>
              <w:right w:type="dxa" w:w="120"/>
            </w:tcMar>
            <w:vAlign w:val="top"/>
          </w:tcPr>
          <w:p>
            <w:pPr>
              <w:spacing w:after="30" w:before="0"/>
            </w:pPr>
            <w:r>
              <w:rPr>
                <w:rFonts w:ascii="Calibri" w:cs="Calibri" w:eastAsia="Calibri" w:hAnsi="Calibri"/>
                <w:b w:val="false"/>
                <w:bCs w:val="false"/>
                <w:i w:val="false"/>
                <w:iCs w:val="false"/>
                <w:color w:val="000000"/>
                <w:sz w:val="21"/>
                <w:szCs w:val="21"/>
              </w:rPr>
              <w:t xml:space="preserve">Der Käufer zahlt nicht rechtzeitig</w:t>
            </w:r>
          </w:p>
        </w:tc>
        <w:tc>
          <w:tcPr>
            <w:tcW w:type="dxa" w:w="3638"/>
            <w:tcMar>
              <w:top w:type="dxa" w:w="70"/>
              <w:left w:type="dxa" w:w="120"/>
              <w:bottom w:type="dxa" w:w="70"/>
              <w:right w:type="dxa" w:w="120"/>
            </w:tcMar>
            <w:vAlign w:val="top"/>
          </w:tcPr>
          <w:p>
            <w:pPr>
              <w:spacing w:after="30" w:before="0"/>
            </w:pPr>
            <w:r>
              <w:rPr>
                <w:rFonts w:ascii="Calibri" w:cs="Calibri" w:eastAsia="Calibri" w:hAnsi="Calibri"/>
                <w:b w:val="false"/>
                <w:bCs w:val="false"/>
                <w:i w:val="false"/>
                <w:iCs w:val="false"/>
                <w:color w:val="000000"/>
                <w:sz w:val="21"/>
                <w:szCs w:val="21"/>
              </w:rPr>
              <w:t xml:space="preserve">Verkäufer</w:t>
            </w:r>
          </w:p>
        </w:tc>
      </w:tr>
    </w:tbl>
    <w:p>
      <w:pPr>
        <w:spacing w:after="0" w:before="0"/>
      </w:pPr>
      <w:r>
        <w:rPr>
          <w:rFonts w:ascii="Calibri" w:cs="Calibri" w:eastAsia="Calibri" w:hAnsi="Calibri"/>
          <w:b w:val="false"/>
          <w:bCs w:val="false"/>
          <w:i w:val="false"/>
          <w:iCs w:val="false"/>
          <w:color w:val="000000"/>
          <w:sz w:val="21"/>
          <w:szCs w:val="21"/>
        </w:rPr>
        <w:t xml:space="preserve"/>
      </w:r>
    </w:p>
    <w:p>
      <w:pPr>
        <w:pStyle w:val="Heading1"/>
        <w:spacing w:after="130" w:before="300"/>
      </w:pPr>
      <w:r>
        <w:rPr>
          <w:rFonts w:ascii="Calibri" w:cs="Calibri" w:eastAsia="Calibri" w:hAnsi="Calibri"/>
          <w:b/>
          <w:bCs/>
          <w:i w:val="false"/>
          <w:iCs w:val="false"/>
          <w:color w:val="003366"/>
          <w:sz w:val="28"/>
          <w:szCs w:val="28"/>
        </w:rPr>
        <w:t xml:space="preserve">3  Mangelhafte Lieferung</w:t>
      </w:r>
    </w:p>
    <w:p>
      <w:pPr>
        <w:spacing w:after="100" w:before="0"/>
      </w:pPr>
      <w:r>
        <w:rPr>
          <w:rFonts w:ascii="Calibri" w:cs="Calibri" w:eastAsia="Calibri" w:hAnsi="Calibri"/>
          <w:b w:val="false"/>
          <w:bCs w:val="false"/>
          <w:i w:val="false"/>
          <w:iCs w:val="false"/>
          <w:color w:val="000000"/>
          <w:sz w:val="21"/>
          <w:szCs w:val="21"/>
        </w:rPr>
        <w:t xml:space="preserve">Ein Sachmangel liegt vor, wenn die Ware bei Gefahrübergang nicht der Vereinbarung entspricht, sich nicht für die gewöhnliche Verwendung eignet oder falsch montiert wurde. Drei Sonderfälle stehen dem Sachmangel ausdrücklich gleich:</w:t>
      </w:r>
    </w:p>
    <w:p>
      <w:pPr>
        <w:spacing w:after="40"/>
        <w:ind w:left="280" w:hanging="200"/>
      </w:pPr>
      <w:r>
        <w:rPr>
          <w:rFonts w:ascii="Calibri" w:cs="Calibri" w:eastAsia="Calibri" w:hAnsi="Calibri"/>
          <w:b w:val="false"/>
          <w:bCs w:val="false"/>
          <w:i w:val="false"/>
          <w:iCs w:val="false"/>
          <w:color w:val="000000"/>
          <w:sz w:val="21"/>
          <w:szCs w:val="21"/>
        </w:rPr>
        <w:t xml:space="preserve">– Schlechtleistung: Die richtige Ware wird geliefert, ist aber fehlerhaft. Beispiel: Der gelieferte Monitor hat drei defekte Pixel.</w:t>
      </w:r>
    </w:p>
    <w:p>
      <w:pPr>
        <w:spacing w:after="40"/>
        <w:ind w:left="280" w:hanging="200"/>
      </w:pPr>
      <w:r>
        <w:rPr>
          <w:rFonts w:ascii="Calibri" w:cs="Calibri" w:eastAsia="Calibri" w:hAnsi="Calibri"/>
          <w:b w:val="false"/>
          <w:bCs w:val="false"/>
          <w:i w:val="false"/>
          <w:iCs w:val="false"/>
          <w:color w:val="000000"/>
          <w:sz w:val="21"/>
          <w:szCs w:val="21"/>
        </w:rPr>
        <w:t xml:space="preserve">– Falschlieferung (Aliud): Es wird eine andere als die bestellte Ware geliefert. Beispiel: Bestellt wurden 16 GB DDR5, geliefert wurden 16 GB DDR4.</w:t>
      </w:r>
    </w:p>
    <w:p>
      <w:pPr>
        <w:spacing w:after="40"/>
        <w:ind w:left="280" w:hanging="200"/>
      </w:pPr>
      <w:r>
        <w:rPr>
          <w:rFonts w:ascii="Calibri" w:cs="Calibri" w:eastAsia="Calibri" w:hAnsi="Calibri"/>
          <w:b w:val="false"/>
          <w:bCs w:val="false"/>
          <w:i w:val="false"/>
          <w:iCs w:val="false"/>
          <w:color w:val="000000"/>
          <w:sz w:val="21"/>
          <w:szCs w:val="21"/>
        </w:rPr>
        <w:t xml:space="preserve">– Minderlieferung: Es wird eine zu geringe Menge geliefert. Beispiel: Bestellt wurden zwölf Notebooks, geliefert wurden zehn.</w:t>
      </w:r>
    </w:p>
    <w:p>
      <w:pPr>
        <w:pStyle w:val="Heading2"/>
        <w:spacing w:after="100" w:before="240"/>
      </w:pPr>
      <w:r>
        <w:rPr>
          <w:rFonts w:ascii="Calibri" w:cs="Calibri" w:eastAsia="Calibri" w:hAnsi="Calibri"/>
          <w:b/>
          <w:bCs/>
          <w:i w:val="false"/>
          <w:iCs w:val="false"/>
          <w:color w:val="0066AA"/>
          <w:sz w:val="24"/>
          <w:szCs w:val="24"/>
        </w:rPr>
        <w:t xml:space="preserve">Rechte des Käufers</w:t>
      </w:r>
    </w:p>
    <w:p>
      <w:pPr>
        <w:spacing w:after="100" w:before="0"/>
      </w:pPr>
      <w:r>
        <w:rPr>
          <w:rFonts w:ascii="Calibri" w:cs="Calibri" w:eastAsia="Calibri" w:hAnsi="Calibri"/>
          <w:b w:val="false"/>
          <w:bCs w:val="false"/>
          <w:i w:val="false"/>
          <w:iCs w:val="false"/>
          <w:color w:val="000000"/>
          <w:sz w:val="21"/>
          <w:szCs w:val="21"/>
        </w:rPr>
        <w:t xml:space="preserve">Die Rechte bestehen in einer festen Rangfolge. Nacherfüllung kommt zuerst.</w:t>
      </w:r>
    </w:p>
    <w:tbl>
      <w:tblPr>
        <w:tblW w:type="dxa" w:w="9638"/>
        <w:tblBorders>
          <w:top w:val="single" w:color="D6E4F0" w:sz="4"/>
          <w:left w:val="single" w:color="D6E4F0" w:sz="4"/>
          <w:bottom w:val="single" w:color="D6E4F0" w:sz="4"/>
          <w:right w:val="single" w:color="D6E4F0" w:sz="4"/>
          <w:insideH w:val="single" w:color="D6E4F0" w:sz="4"/>
          <w:insideV w:val="single" w:color="D6E4F0" w:sz="4"/>
        </w:tblBorders>
      </w:tblPr>
      <w:tblGrid>
        <w:gridCol w:w="1000"/>
        <w:gridCol w:w="3000"/>
        <w:gridCol w:w="5638"/>
      </w:tblGrid>
      <w:tr>
        <w:trPr>
          <w:tblHeader/>
        </w:trPr>
        <w:tc>
          <w:tcPr>
            <w:tcW w:type="dxa" w:w="1000"/>
            <w:shd w:fill="003366" w:color="auto" w:val="clear"/>
            <w:tcMar>
              <w:top w:type="dxa" w:w="70"/>
              <w:left w:type="dxa" w:w="120"/>
              <w:bottom w:type="dxa" w:w="70"/>
              <w:right w:type="dxa" w:w="120"/>
            </w:tcMar>
            <w:vAlign w:val="top"/>
          </w:tcPr>
          <w:p>
            <w:pPr>
              <w:spacing w:after="30" w:before="0"/>
            </w:pPr>
            <w:r>
              <w:rPr>
                <w:rFonts w:ascii="Calibri" w:cs="Calibri" w:eastAsia="Calibri" w:hAnsi="Calibri"/>
                <w:b/>
                <w:bCs/>
                <w:i w:val="false"/>
                <w:iCs w:val="false"/>
                <w:color w:val="FFFFFF"/>
                <w:sz w:val="21"/>
                <w:szCs w:val="21"/>
              </w:rPr>
              <w:t xml:space="preserve">Rang</w:t>
            </w:r>
          </w:p>
        </w:tc>
        <w:tc>
          <w:tcPr>
            <w:tcW w:type="dxa" w:w="3000"/>
            <w:shd w:fill="003366" w:color="auto" w:val="clear"/>
            <w:tcMar>
              <w:top w:type="dxa" w:w="70"/>
              <w:left w:type="dxa" w:w="120"/>
              <w:bottom w:type="dxa" w:w="70"/>
              <w:right w:type="dxa" w:w="120"/>
            </w:tcMar>
            <w:vAlign w:val="top"/>
          </w:tcPr>
          <w:p>
            <w:pPr>
              <w:spacing w:after="30" w:before="0"/>
            </w:pPr>
            <w:r>
              <w:rPr>
                <w:rFonts w:ascii="Calibri" w:cs="Calibri" w:eastAsia="Calibri" w:hAnsi="Calibri"/>
                <w:b/>
                <w:bCs/>
                <w:i w:val="false"/>
                <w:iCs w:val="false"/>
                <w:color w:val="FFFFFF"/>
                <w:sz w:val="21"/>
                <w:szCs w:val="21"/>
              </w:rPr>
              <w:t xml:space="preserve">Recht</w:t>
            </w:r>
          </w:p>
        </w:tc>
        <w:tc>
          <w:tcPr>
            <w:tcW w:type="dxa" w:w="5638"/>
            <w:shd w:fill="003366" w:color="auto" w:val="clear"/>
            <w:tcMar>
              <w:top w:type="dxa" w:w="70"/>
              <w:left w:type="dxa" w:w="120"/>
              <w:bottom w:type="dxa" w:w="70"/>
              <w:right w:type="dxa" w:w="120"/>
            </w:tcMar>
            <w:vAlign w:val="top"/>
          </w:tcPr>
          <w:p>
            <w:pPr>
              <w:spacing w:after="30" w:before="0"/>
            </w:pPr>
            <w:r>
              <w:rPr>
                <w:rFonts w:ascii="Calibri" w:cs="Calibri" w:eastAsia="Calibri" w:hAnsi="Calibri"/>
                <w:b/>
                <w:bCs/>
                <w:i w:val="false"/>
                <w:iCs w:val="false"/>
                <w:color w:val="FFFFFF"/>
                <w:sz w:val="21"/>
                <w:szCs w:val="21"/>
              </w:rPr>
              <w:t xml:space="preserve">Erläuterung</w:t>
            </w:r>
          </w:p>
        </w:tc>
      </w:tr>
      <w:tr>
        <w:trPr>
          <w:cantSplit w:val="false"/>
        </w:trPr>
        <w:tc>
          <w:tcPr>
            <w:tcW w:type="dxa" w:w="1000"/>
            <w:tcMar>
              <w:top w:type="dxa" w:w="70"/>
              <w:left w:type="dxa" w:w="120"/>
              <w:bottom w:type="dxa" w:w="70"/>
              <w:right w:type="dxa" w:w="120"/>
            </w:tcMar>
            <w:vAlign w:val="top"/>
          </w:tcPr>
          <w:p>
            <w:pPr>
              <w:spacing w:after="30" w:before="0"/>
              <w:jc w:val="center"/>
            </w:pPr>
            <w:r>
              <w:rPr>
                <w:rFonts w:ascii="Calibri" w:cs="Calibri" w:eastAsia="Calibri" w:hAnsi="Calibri"/>
                <w:b w:val="false"/>
                <w:bCs w:val="false"/>
                <w:i w:val="false"/>
                <w:iCs w:val="false"/>
                <w:color w:val="000000"/>
                <w:sz w:val="21"/>
                <w:szCs w:val="21"/>
              </w:rPr>
              <w:t xml:space="preserve">1</w:t>
            </w:r>
          </w:p>
        </w:tc>
        <w:tc>
          <w:tcPr>
            <w:tcW w:type="dxa" w:w="3000"/>
            <w:tcMar>
              <w:top w:type="dxa" w:w="70"/>
              <w:left w:type="dxa" w:w="120"/>
              <w:bottom w:type="dxa" w:w="70"/>
              <w:right w:type="dxa" w:w="120"/>
            </w:tcMar>
            <w:vAlign w:val="top"/>
          </w:tcPr>
          <w:p>
            <w:pPr>
              <w:spacing w:after="30" w:before="0"/>
            </w:pPr>
            <w:r>
              <w:rPr>
                <w:rFonts w:ascii="Calibri" w:cs="Calibri" w:eastAsia="Calibri" w:hAnsi="Calibri"/>
                <w:b w:val="false"/>
                <w:bCs w:val="false"/>
                <w:i w:val="false"/>
                <w:iCs w:val="false"/>
                <w:color w:val="000000"/>
                <w:sz w:val="21"/>
                <w:szCs w:val="21"/>
              </w:rPr>
              <w:t xml:space="preserve">Nacherfüllung</w:t>
            </w:r>
          </w:p>
        </w:tc>
        <w:tc>
          <w:tcPr>
            <w:tcW w:type="dxa" w:w="5638"/>
            <w:tcMar>
              <w:top w:type="dxa" w:w="70"/>
              <w:left w:type="dxa" w:w="120"/>
              <w:bottom w:type="dxa" w:w="70"/>
              <w:right w:type="dxa" w:w="120"/>
            </w:tcMar>
            <w:vAlign w:val="top"/>
          </w:tcPr>
          <w:p>
            <w:pPr>
              <w:spacing w:after="30" w:before="0"/>
            </w:pPr>
            <w:r>
              <w:rPr>
                <w:rFonts w:ascii="Calibri" w:cs="Calibri" w:eastAsia="Calibri" w:hAnsi="Calibri"/>
                <w:b w:val="false"/>
                <w:bCs w:val="false"/>
                <w:i w:val="false"/>
                <w:iCs w:val="false"/>
                <w:color w:val="000000"/>
                <w:sz w:val="21"/>
                <w:szCs w:val="21"/>
              </w:rPr>
              <w:t xml:space="preserve">Der Käufer wählt zwischen Nachbesserung (Reparatur) und Nachlieferung (Ersatzlieferung). Der Verkäufer darf die gewählte Art verweigern, wenn sie unverhältnismäßig teuer ist.</w:t>
            </w:r>
          </w:p>
        </w:tc>
      </w:tr>
      <w:tr>
        <w:trPr>
          <w:cantSplit w:val="false"/>
        </w:trPr>
        <w:tc>
          <w:tcPr>
            <w:tcW w:type="dxa" w:w="1000"/>
            <w:tcMar>
              <w:top w:type="dxa" w:w="70"/>
              <w:left w:type="dxa" w:w="120"/>
              <w:bottom w:type="dxa" w:w="70"/>
              <w:right w:type="dxa" w:w="120"/>
            </w:tcMar>
            <w:vAlign w:val="top"/>
          </w:tcPr>
          <w:p>
            <w:pPr>
              <w:spacing w:after="30" w:before="0"/>
              <w:jc w:val="center"/>
            </w:pPr>
            <w:r>
              <w:rPr>
                <w:rFonts w:ascii="Calibri" w:cs="Calibri" w:eastAsia="Calibri" w:hAnsi="Calibri"/>
                <w:b w:val="false"/>
                <w:bCs w:val="false"/>
                <w:i w:val="false"/>
                <w:iCs w:val="false"/>
                <w:color w:val="000000"/>
                <w:sz w:val="21"/>
                <w:szCs w:val="21"/>
              </w:rPr>
              <w:t xml:space="preserve">2</w:t>
            </w:r>
          </w:p>
        </w:tc>
        <w:tc>
          <w:tcPr>
            <w:tcW w:type="dxa" w:w="3000"/>
            <w:tcMar>
              <w:top w:type="dxa" w:w="70"/>
              <w:left w:type="dxa" w:w="120"/>
              <w:bottom w:type="dxa" w:w="70"/>
              <w:right w:type="dxa" w:w="120"/>
            </w:tcMar>
            <w:vAlign w:val="top"/>
          </w:tcPr>
          <w:p>
            <w:pPr>
              <w:spacing w:after="30" w:before="0"/>
            </w:pPr>
            <w:r>
              <w:rPr>
                <w:rFonts w:ascii="Calibri" w:cs="Calibri" w:eastAsia="Calibri" w:hAnsi="Calibri"/>
                <w:b w:val="false"/>
                <w:bCs w:val="false"/>
                <w:i w:val="false"/>
                <w:iCs w:val="false"/>
                <w:color w:val="000000"/>
                <w:sz w:val="21"/>
                <w:szCs w:val="21"/>
              </w:rPr>
              <w:t xml:space="preserve">Rücktritt vom Vertrag</w:t>
            </w:r>
          </w:p>
        </w:tc>
        <w:tc>
          <w:tcPr>
            <w:tcW w:type="dxa" w:w="5638"/>
            <w:tcMar>
              <w:top w:type="dxa" w:w="70"/>
              <w:left w:type="dxa" w:w="120"/>
              <w:bottom w:type="dxa" w:w="70"/>
              <w:right w:type="dxa" w:w="120"/>
            </w:tcMar>
            <w:vAlign w:val="top"/>
          </w:tcPr>
          <w:p>
            <w:pPr>
              <w:spacing w:after="30" w:before="0"/>
            </w:pPr>
            <w:r>
              <w:rPr>
                <w:rFonts w:ascii="Calibri" w:cs="Calibri" w:eastAsia="Calibri" w:hAnsi="Calibri"/>
                <w:b w:val="false"/>
                <w:bCs w:val="false"/>
                <w:i w:val="false"/>
                <w:iCs w:val="false"/>
                <w:color w:val="000000"/>
                <w:sz w:val="21"/>
                <w:szCs w:val="21"/>
              </w:rPr>
              <w:t xml:space="preserve">Erst nach erfolgloser angemessener Nachfrist. Bei unerheblichen Mängeln ausgeschlossen.</w:t>
            </w:r>
          </w:p>
        </w:tc>
      </w:tr>
      <w:tr>
        <w:trPr>
          <w:cantSplit w:val="false"/>
        </w:trPr>
        <w:tc>
          <w:tcPr>
            <w:tcW w:type="dxa" w:w="1000"/>
            <w:tcMar>
              <w:top w:type="dxa" w:w="70"/>
              <w:left w:type="dxa" w:w="120"/>
              <w:bottom w:type="dxa" w:w="70"/>
              <w:right w:type="dxa" w:w="120"/>
            </w:tcMar>
            <w:vAlign w:val="top"/>
          </w:tcPr>
          <w:p>
            <w:pPr>
              <w:spacing w:after="30" w:before="0"/>
              <w:jc w:val="center"/>
            </w:pPr>
            <w:r>
              <w:rPr>
                <w:rFonts w:ascii="Calibri" w:cs="Calibri" w:eastAsia="Calibri" w:hAnsi="Calibri"/>
                <w:b w:val="false"/>
                <w:bCs w:val="false"/>
                <w:i w:val="false"/>
                <w:iCs w:val="false"/>
                <w:color w:val="000000"/>
                <w:sz w:val="21"/>
                <w:szCs w:val="21"/>
              </w:rPr>
              <w:t xml:space="preserve">2</w:t>
            </w:r>
          </w:p>
        </w:tc>
        <w:tc>
          <w:tcPr>
            <w:tcW w:type="dxa" w:w="3000"/>
            <w:tcMar>
              <w:top w:type="dxa" w:w="70"/>
              <w:left w:type="dxa" w:w="120"/>
              <w:bottom w:type="dxa" w:w="70"/>
              <w:right w:type="dxa" w:w="120"/>
            </w:tcMar>
            <w:vAlign w:val="top"/>
          </w:tcPr>
          <w:p>
            <w:pPr>
              <w:spacing w:after="30" w:before="0"/>
            </w:pPr>
            <w:r>
              <w:rPr>
                <w:rFonts w:ascii="Calibri" w:cs="Calibri" w:eastAsia="Calibri" w:hAnsi="Calibri"/>
                <w:b w:val="false"/>
                <w:bCs w:val="false"/>
                <w:i w:val="false"/>
                <w:iCs w:val="false"/>
                <w:color w:val="000000"/>
                <w:sz w:val="21"/>
                <w:szCs w:val="21"/>
              </w:rPr>
              <w:t xml:space="preserve">Minderung des Kaufpreises</w:t>
            </w:r>
          </w:p>
        </w:tc>
        <w:tc>
          <w:tcPr>
            <w:tcW w:type="dxa" w:w="5638"/>
            <w:tcMar>
              <w:top w:type="dxa" w:w="70"/>
              <w:left w:type="dxa" w:w="120"/>
              <w:bottom w:type="dxa" w:w="70"/>
              <w:right w:type="dxa" w:w="120"/>
            </w:tcMar>
            <w:vAlign w:val="top"/>
          </w:tcPr>
          <w:p>
            <w:pPr>
              <w:spacing w:after="30" w:before="0"/>
            </w:pPr>
            <w:r>
              <w:rPr>
                <w:rFonts w:ascii="Calibri" w:cs="Calibri" w:eastAsia="Calibri" w:hAnsi="Calibri"/>
                <w:b w:val="false"/>
                <w:bCs w:val="false"/>
                <w:i w:val="false"/>
                <w:iCs w:val="false"/>
                <w:color w:val="000000"/>
                <w:sz w:val="21"/>
                <w:szCs w:val="21"/>
              </w:rPr>
              <w:t xml:space="preserve">Alternative zum Rücktritt. Auch bei unerheblichen Mängeln möglich.</w:t>
            </w:r>
          </w:p>
        </w:tc>
      </w:tr>
      <w:tr>
        <w:trPr>
          <w:cantSplit w:val="false"/>
        </w:trPr>
        <w:tc>
          <w:tcPr>
            <w:tcW w:type="dxa" w:w="1000"/>
            <w:tcMar>
              <w:top w:type="dxa" w:w="70"/>
              <w:left w:type="dxa" w:w="120"/>
              <w:bottom w:type="dxa" w:w="70"/>
              <w:right w:type="dxa" w:w="120"/>
            </w:tcMar>
            <w:vAlign w:val="top"/>
          </w:tcPr>
          <w:p>
            <w:pPr>
              <w:spacing w:after="30" w:before="0"/>
              <w:jc w:val="center"/>
            </w:pPr>
            <w:r>
              <w:rPr>
                <w:rFonts w:ascii="Calibri" w:cs="Calibri" w:eastAsia="Calibri" w:hAnsi="Calibri"/>
                <w:b w:val="false"/>
                <w:bCs w:val="false"/>
                <w:i w:val="false"/>
                <w:iCs w:val="false"/>
                <w:color w:val="000000"/>
                <w:sz w:val="21"/>
                <w:szCs w:val="21"/>
              </w:rPr>
              <w:t xml:space="preserve">3</w:t>
            </w:r>
          </w:p>
        </w:tc>
        <w:tc>
          <w:tcPr>
            <w:tcW w:type="dxa" w:w="3000"/>
            <w:tcMar>
              <w:top w:type="dxa" w:w="70"/>
              <w:left w:type="dxa" w:w="120"/>
              <w:bottom w:type="dxa" w:w="70"/>
              <w:right w:type="dxa" w:w="120"/>
            </w:tcMar>
            <w:vAlign w:val="top"/>
          </w:tcPr>
          <w:p>
            <w:pPr>
              <w:spacing w:after="30" w:before="0"/>
            </w:pPr>
            <w:r>
              <w:rPr>
                <w:rFonts w:ascii="Calibri" w:cs="Calibri" w:eastAsia="Calibri" w:hAnsi="Calibri"/>
                <w:b w:val="false"/>
                <w:bCs w:val="false"/>
                <w:i w:val="false"/>
                <w:iCs w:val="false"/>
                <w:color w:val="000000"/>
                <w:sz w:val="21"/>
                <w:szCs w:val="21"/>
              </w:rPr>
              <w:t xml:space="preserve">Schadensersatz</w:t>
            </w:r>
          </w:p>
        </w:tc>
        <w:tc>
          <w:tcPr>
            <w:tcW w:type="dxa" w:w="5638"/>
            <w:tcMar>
              <w:top w:type="dxa" w:w="70"/>
              <w:left w:type="dxa" w:w="120"/>
              <w:bottom w:type="dxa" w:w="70"/>
              <w:right w:type="dxa" w:w="120"/>
            </w:tcMar>
            <w:vAlign w:val="top"/>
          </w:tcPr>
          <w:p>
            <w:pPr>
              <w:spacing w:after="30" w:before="0"/>
            </w:pPr>
            <w:r>
              <w:rPr>
                <w:rFonts w:ascii="Calibri" w:cs="Calibri" w:eastAsia="Calibri" w:hAnsi="Calibri"/>
                <w:b w:val="false"/>
                <w:bCs w:val="false"/>
                <w:i w:val="false"/>
                <w:iCs w:val="false"/>
                <w:color w:val="000000"/>
                <w:sz w:val="21"/>
                <w:szCs w:val="21"/>
              </w:rPr>
              <w:t xml:space="preserve">Neben oder statt der Leistung, setzt in der Regel ein Verschulden des Verkäufers voraus.</w:t>
            </w:r>
          </w:p>
        </w:tc>
      </w:tr>
    </w:tbl>
    <w:p>
      <w:pPr>
        <w:spacing w:after="0" w:before="0"/>
      </w:pPr>
      <w:r>
        <w:rPr>
          <w:rFonts w:ascii="Calibri" w:cs="Calibri" w:eastAsia="Calibri" w:hAnsi="Calibri"/>
          <w:b w:val="false"/>
          <w:bCs w:val="false"/>
          <w:i w:val="false"/>
          <w:iCs w:val="false"/>
          <w:color w:val="000000"/>
          <w:sz w:val="21"/>
          <w:szCs w:val="21"/>
        </w:rPr>
        <w:t xml:space="preserve"/>
      </w:r>
    </w:p>
    <w:p>
      <w:pPr>
        <w:pStyle w:val="Heading2"/>
        <w:spacing w:after="100" w:before="240"/>
      </w:pPr>
      <w:r>
        <w:rPr>
          <w:rFonts w:ascii="Calibri" w:cs="Calibri" w:eastAsia="Calibri" w:hAnsi="Calibri"/>
          <w:b/>
          <w:bCs/>
          <w:i w:val="false"/>
          <w:iCs w:val="false"/>
          <w:color w:val="0066AA"/>
          <w:sz w:val="24"/>
          <w:szCs w:val="24"/>
        </w:rPr>
        <w:t xml:space="preserve">Untersuchungs- und Rügepflicht beim Handelskauf</w:t>
      </w:r>
    </w:p>
    <w:p>
      <w:pPr>
        <w:spacing w:after="100" w:before="0"/>
      </w:pPr>
      <w:r>
        <w:rPr>
          <w:rFonts w:ascii="Calibri" w:cs="Calibri" w:eastAsia="Calibri" w:hAnsi="Calibri"/>
          <w:b w:val="false"/>
          <w:bCs w:val="false"/>
          <w:i w:val="false"/>
          <w:iCs w:val="false"/>
          <w:color w:val="000000"/>
          <w:sz w:val="21"/>
          <w:szCs w:val="21"/>
        </w:rPr>
        <w:t xml:space="preserve">Sind beide Seiten Kaufleute, muss die Ware unverzüglich nach Ablieferung untersucht werden. Erkennbare Mängel sind unverzüglich zu rügen, sonst gilt die Ware als genehmigt und die Mängelrechte entfallen. Versteckte Mängel sind unverzüglich nach ihrer Entdeckung zu rügen.</w:t>
      </w:r>
    </w:p>
    <w:p>
      <w:pPr>
        <w:pBdr>
          <w:left w:val="single" w:color="F0A500" w:sz="18"/>
        </w:pBdr>
        <w:shd w:fill="FFF4DC" w:color="auto" w:val="clear"/>
        <w:spacing w:after="140" w:before="140"/>
        <w:ind w:left="200" w:right="100"/>
      </w:pPr>
      <w:r>
        <w:rPr>
          <w:rFonts w:ascii="Calibri" w:cs="Calibri" w:eastAsia="Calibri" w:hAnsi="Calibri"/>
          <w:b w:val="false"/>
          <w:bCs w:val="false"/>
          <w:i/>
          <w:iCs/>
          <w:color w:val="000000"/>
          <w:sz w:val="21"/>
          <w:szCs w:val="21"/>
        </w:rPr>
        <w:t xml:space="preserve">Rechtsgrundlagen: §§ 434, 437, 439, 441 BGB; § 377 HGB. „Unverzüglich" bedeutet ohne schuldhaftes Zögern, nicht sofort. Die Verjährungsfrist für Mängelansprüche bei beweglichen Sachen beträgt zwei Jahre ab Ablieferung.</w:t>
      </w:r>
    </w:p>
    <w:p>
      <w:pPr>
        <w:pStyle w:val="Heading1"/>
        <w:spacing w:after="130" w:before="300"/>
      </w:pPr>
      <w:r>
        <w:rPr>
          <w:rFonts w:ascii="Calibri" w:cs="Calibri" w:eastAsia="Calibri" w:hAnsi="Calibri"/>
          <w:b/>
          <w:bCs/>
          <w:i w:val="false"/>
          <w:iCs w:val="false"/>
          <w:color w:val="003366"/>
          <w:sz w:val="28"/>
          <w:szCs w:val="28"/>
        </w:rPr>
        <w:t xml:space="preserve">4  Lieferungsverzug</w:t>
      </w:r>
    </w:p>
    <w:p>
      <w:pPr>
        <w:spacing w:after="100" w:before="0"/>
      </w:pPr>
      <w:r>
        <w:rPr>
          <w:rFonts w:ascii="Calibri" w:cs="Calibri" w:eastAsia="Calibri" w:hAnsi="Calibri"/>
          <w:b w:val="false"/>
          <w:bCs w:val="false"/>
          <w:i w:val="false"/>
          <w:iCs w:val="false"/>
          <w:color w:val="000000"/>
          <w:sz w:val="21"/>
          <w:szCs w:val="21"/>
        </w:rPr>
        <w:t xml:space="preserve">Lieferungsverzug setzt drei Dinge voraus:</w:t>
      </w:r>
    </w:p>
    <w:p>
      <w:pPr>
        <w:spacing w:after="40"/>
        <w:ind w:left="340" w:hanging="260"/>
      </w:pPr>
      <w:r>
        <w:rPr>
          <w:rFonts w:ascii="Calibri" w:cs="Calibri" w:eastAsia="Calibri" w:hAnsi="Calibri"/>
          <w:b w:val="false"/>
          <w:bCs w:val="false"/>
          <w:i w:val="false"/>
          <w:iCs w:val="false"/>
          <w:color w:val="000000"/>
          <w:sz w:val="21"/>
          <w:szCs w:val="21"/>
        </w:rPr>
        <w:t xml:space="preserve">1.  Die Leistung ist fällig und nicht erbracht.</w:t>
      </w:r>
    </w:p>
    <w:p>
      <w:pPr>
        <w:spacing w:after="40"/>
        <w:ind w:left="340" w:hanging="260"/>
      </w:pPr>
      <w:r>
        <w:rPr>
          <w:rFonts w:ascii="Calibri" w:cs="Calibri" w:eastAsia="Calibri" w:hAnsi="Calibri"/>
          <w:b w:val="false"/>
          <w:bCs w:val="false"/>
          <w:i w:val="false"/>
          <w:iCs w:val="false"/>
          <w:color w:val="000000"/>
          <w:sz w:val="21"/>
          <w:szCs w:val="21"/>
        </w:rPr>
        <w:t xml:space="preserve">2.  Der Käufer hat gemahnt. Die Mahnung entfällt, wenn ein Liefertermin kalendermäßig fest vereinbart war (Beispiel: „Lieferung am 14. September").</w:t>
      </w:r>
    </w:p>
    <w:p>
      <w:pPr>
        <w:spacing w:after="40"/>
        <w:ind w:left="340" w:hanging="260"/>
      </w:pPr>
      <w:r>
        <w:rPr>
          <w:rFonts w:ascii="Calibri" w:cs="Calibri" w:eastAsia="Calibri" w:hAnsi="Calibri"/>
          <w:b w:val="false"/>
          <w:bCs w:val="false"/>
          <w:i w:val="false"/>
          <w:iCs w:val="false"/>
          <w:color w:val="000000"/>
          <w:sz w:val="21"/>
          <w:szCs w:val="21"/>
        </w:rPr>
        <w:t xml:space="preserve">3.  Der Verkäufer hat die Verzögerung zu vertreten.</w:t>
      </w:r>
    </w:p>
    <w:p>
      <w:pPr>
        <w:pStyle w:val="Heading2"/>
        <w:spacing w:after="100" w:before="240"/>
      </w:pPr>
      <w:r>
        <w:rPr>
          <w:rFonts w:ascii="Calibri" w:cs="Calibri" w:eastAsia="Calibri" w:hAnsi="Calibri"/>
          <w:b/>
          <w:bCs/>
          <w:i w:val="false"/>
          <w:iCs w:val="false"/>
          <w:color w:val="0066AA"/>
          <w:sz w:val="24"/>
          <w:szCs w:val="24"/>
        </w:rPr>
        <w:t xml:space="preserve">Rechte des Käufers</w:t>
      </w:r>
    </w:p>
    <w:p>
      <w:pPr>
        <w:spacing w:after="40"/>
        <w:ind w:left="280" w:hanging="200"/>
      </w:pPr>
      <w:r>
        <w:rPr>
          <w:rFonts w:ascii="Calibri" w:cs="Calibri" w:eastAsia="Calibri" w:hAnsi="Calibri"/>
          <w:b w:val="false"/>
          <w:bCs w:val="false"/>
          <w:i w:val="false"/>
          <w:iCs w:val="false"/>
          <w:color w:val="000000"/>
          <w:sz w:val="21"/>
          <w:szCs w:val="21"/>
        </w:rPr>
        <w:t xml:space="preserve">– Auf Lieferung bestehen und zusätzlich den Verzugsschaden verlangen.</w:t>
      </w:r>
    </w:p>
    <w:p>
      <w:pPr>
        <w:spacing w:after="40"/>
        <w:ind w:left="280" w:hanging="200"/>
      </w:pPr>
      <w:r>
        <w:rPr>
          <w:rFonts w:ascii="Calibri" w:cs="Calibri" w:eastAsia="Calibri" w:hAnsi="Calibri"/>
          <w:b w:val="false"/>
          <w:bCs w:val="false"/>
          <w:i w:val="false"/>
          <w:iCs w:val="false"/>
          <w:color w:val="000000"/>
          <w:sz w:val="21"/>
          <w:szCs w:val="21"/>
        </w:rPr>
        <w:t xml:space="preserve">– Eine angemessene Nachfrist setzen und nach deren Ablauf vom Vertrag zurücktreten.</w:t>
      </w:r>
    </w:p>
    <w:p>
      <w:pPr>
        <w:spacing w:after="40"/>
        <w:ind w:left="280" w:hanging="200"/>
      </w:pPr>
      <w:r>
        <w:rPr>
          <w:rFonts w:ascii="Calibri" w:cs="Calibri" w:eastAsia="Calibri" w:hAnsi="Calibri"/>
          <w:b w:val="false"/>
          <w:bCs w:val="false"/>
          <w:i w:val="false"/>
          <w:iCs w:val="false"/>
          <w:color w:val="000000"/>
          <w:sz w:val="21"/>
          <w:szCs w:val="21"/>
        </w:rPr>
        <w:t xml:space="preserve">– Nach erfolgloser Nachfrist Schadensersatz statt der Leistung verlangen, etwa die Mehrkosten eines Deckungskaufs.</w:t>
      </w:r>
    </w:p>
    <w:p>
      <w:pPr>
        <w:pBdr>
          <w:left w:val="single" w:color="F0A500" w:sz="18"/>
        </w:pBdr>
        <w:shd w:fill="FFF4DC" w:color="auto" w:val="clear"/>
        <w:spacing w:after="140" w:before="140"/>
        <w:ind w:left="200" w:right="100"/>
      </w:pPr>
      <w:r>
        <w:rPr>
          <w:rFonts w:ascii="Calibri" w:cs="Calibri" w:eastAsia="Calibri" w:hAnsi="Calibri"/>
          <w:b w:val="false"/>
          <w:bCs w:val="false"/>
          <w:i/>
          <w:iCs/>
          <w:color w:val="000000"/>
          <w:sz w:val="21"/>
          <w:szCs w:val="21"/>
        </w:rPr>
        <w:t xml:space="preserve">Praxisbezug: In IT-Beschaffungen ist der Verzugsschaden häufig der Ausfall eines Arbeitsplatzes. Halten Sie deshalb fest, ab wann welche Kosten entstehen — ohne Nachweis lässt sich kein Schaden geltend machen.</w:t>
      </w:r>
    </w:p>
    <w:p>
      <w:pPr>
        <w:pStyle w:val="Heading1"/>
        <w:spacing w:after="130" w:before="300"/>
      </w:pPr>
      <w:r>
        <w:rPr>
          <w:rFonts w:ascii="Calibri" w:cs="Calibri" w:eastAsia="Calibri" w:hAnsi="Calibri"/>
          <w:b/>
          <w:bCs/>
          <w:i w:val="false"/>
          <w:iCs w:val="false"/>
          <w:color w:val="003366"/>
          <w:sz w:val="28"/>
          <w:szCs w:val="28"/>
        </w:rPr>
        <w:t xml:space="preserve">5  Zahlungsverzug und Annahmeverzug</w:t>
      </w:r>
    </w:p>
    <w:tbl>
      <w:tblPr>
        <w:tblW w:type="dxa" w:w="9638"/>
        <w:tblBorders>
          <w:top w:val="single" w:color="D6E4F0" w:sz="4"/>
          <w:left w:val="single" w:color="D6E4F0" w:sz="4"/>
          <w:bottom w:val="single" w:color="D6E4F0" w:sz="4"/>
          <w:right w:val="single" w:color="D6E4F0" w:sz="4"/>
          <w:insideH w:val="single" w:color="D6E4F0" w:sz="4"/>
          <w:insideV w:val="single" w:color="D6E4F0" w:sz="4"/>
        </w:tblBorders>
      </w:tblPr>
      <w:tblGrid>
        <w:gridCol w:w="2600"/>
        <w:gridCol w:w="7038"/>
      </w:tblGrid>
      <w:tr>
        <w:trPr>
          <w:tblHeader/>
        </w:trPr>
        <w:tc>
          <w:tcPr>
            <w:tcW w:type="dxa" w:w="2600"/>
            <w:shd w:fill="003366" w:color="auto" w:val="clear"/>
            <w:tcMar>
              <w:top w:type="dxa" w:w="70"/>
              <w:left w:type="dxa" w:w="120"/>
              <w:bottom w:type="dxa" w:w="70"/>
              <w:right w:type="dxa" w:w="120"/>
            </w:tcMar>
            <w:vAlign w:val="top"/>
          </w:tcPr>
          <w:p>
            <w:pPr>
              <w:spacing w:after="30" w:before="0"/>
            </w:pPr>
            <w:r>
              <w:rPr>
                <w:rFonts w:ascii="Calibri" w:cs="Calibri" w:eastAsia="Calibri" w:hAnsi="Calibri"/>
                <w:b/>
                <w:bCs/>
                <w:i w:val="false"/>
                <w:iCs w:val="false"/>
                <w:color w:val="FFFFFF"/>
                <w:sz w:val="21"/>
                <w:szCs w:val="21"/>
              </w:rPr>
              <w:t xml:space="preserve"/>
            </w:r>
          </w:p>
        </w:tc>
        <w:tc>
          <w:tcPr>
            <w:tcW w:type="dxa" w:w="7038"/>
            <w:shd w:fill="003366" w:color="auto" w:val="clear"/>
            <w:tcMar>
              <w:top w:type="dxa" w:w="70"/>
              <w:left w:type="dxa" w:w="120"/>
              <w:bottom w:type="dxa" w:w="70"/>
              <w:right w:type="dxa" w:w="120"/>
            </w:tcMar>
            <w:vAlign w:val="top"/>
          </w:tcPr>
          <w:p>
            <w:pPr>
              <w:spacing w:after="30" w:before="0"/>
            </w:pPr>
            <w:r>
              <w:rPr>
                <w:rFonts w:ascii="Calibri" w:cs="Calibri" w:eastAsia="Calibri" w:hAnsi="Calibri"/>
                <w:b/>
                <w:bCs/>
                <w:i w:val="false"/>
                <w:iCs w:val="false"/>
                <w:color w:val="FFFFFF"/>
                <w:sz w:val="21"/>
                <w:szCs w:val="21"/>
              </w:rPr>
              <w:t xml:space="preserve">Kurzfassung</w:t>
            </w:r>
          </w:p>
        </w:tc>
      </w:tr>
      <w:tr>
        <w:trPr>
          <w:cantSplit w:val="false"/>
        </w:trPr>
        <w:tc>
          <w:tcPr>
            <w:tcW w:type="dxa" w:w="2600"/>
            <w:shd w:fill="EEF5FB" w:color="auto" w:val="clear"/>
            <w:tcMar>
              <w:top w:type="dxa" w:w="70"/>
              <w:left w:type="dxa" w:w="120"/>
              <w:bottom w:type="dxa" w:w="70"/>
              <w:right w:type="dxa" w:w="120"/>
            </w:tcMar>
            <w:vAlign w:val="top"/>
          </w:tcPr>
          <w:p>
            <w:pPr>
              <w:spacing w:after="30" w:before="0"/>
            </w:pPr>
            <w:r>
              <w:rPr>
                <w:rFonts w:ascii="Calibri" w:cs="Calibri" w:eastAsia="Calibri" w:hAnsi="Calibri"/>
                <w:b/>
                <w:bCs/>
                <w:i w:val="false"/>
                <w:iCs w:val="false"/>
                <w:color w:val="000000"/>
                <w:sz w:val="21"/>
                <w:szCs w:val="21"/>
              </w:rPr>
              <w:t xml:space="preserve">Zahlungsverzug</w:t>
            </w:r>
          </w:p>
        </w:tc>
        <w:tc>
          <w:tcPr>
            <w:tcW w:type="dxa" w:w="7038"/>
            <w:tcMar>
              <w:top w:type="dxa" w:w="70"/>
              <w:left w:type="dxa" w:w="120"/>
              <w:bottom w:type="dxa" w:w="70"/>
              <w:right w:type="dxa" w:w="120"/>
            </w:tcMar>
            <w:vAlign w:val="top"/>
          </w:tcPr>
          <w:p>
            <w:pPr>
              <w:spacing w:after="30" w:before="0"/>
            </w:pPr>
            <w:r>
              <w:rPr>
                <w:rFonts w:ascii="Calibri" w:cs="Calibri" w:eastAsia="Calibri" w:hAnsi="Calibri"/>
                <w:b w:val="false"/>
                <w:bCs w:val="false"/>
                <w:i w:val="false"/>
                <w:iCs w:val="false"/>
                <w:color w:val="000000"/>
                <w:sz w:val="21"/>
                <w:szCs w:val="21"/>
              </w:rPr>
              <w:t xml:space="preserve">Tritt ein nach Mahnung oder spätestens 30 Tage nach Zugang der Rechnung. Der Verkäufer kann Verzugszinsen verlangen. Zwischen Unternehmen liegt der Zinssatz bei neun Prozentpunkten über dem Basiszinssatz, zusätzlich ist eine Pauschale von 40 Euro fällig. Bei Beteiligung von Verbraucherinnen und Verbrauchern sind es fünf Prozentpunkte über dem Basiszinssatz.</w:t>
            </w:r>
          </w:p>
        </w:tc>
      </w:tr>
      <w:tr>
        <w:trPr>
          <w:cantSplit w:val="false"/>
        </w:trPr>
        <w:tc>
          <w:tcPr>
            <w:tcW w:type="dxa" w:w="2600"/>
            <w:shd w:fill="EEF5FB" w:color="auto" w:val="clear"/>
            <w:tcMar>
              <w:top w:type="dxa" w:w="70"/>
              <w:left w:type="dxa" w:w="120"/>
              <w:bottom w:type="dxa" w:w="70"/>
              <w:right w:type="dxa" w:w="120"/>
            </w:tcMar>
            <w:vAlign w:val="top"/>
          </w:tcPr>
          <w:p>
            <w:pPr>
              <w:spacing w:after="30" w:before="0"/>
            </w:pPr>
            <w:r>
              <w:rPr>
                <w:rFonts w:ascii="Calibri" w:cs="Calibri" w:eastAsia="Calibri" w:hAnsi="Calibri"/>
                <w:b/>
                <w:bCs/>
                <w:i w:val="false"/>
                <w:iCs w:val="false"/>
                <w:color w:val="000000"/>
                <w:sz w:val="21"/>
                <w:szCs w:val="21"/>
              </w:rPr>
              <w:t xml:space="preserve">Annahmeverzug</w:t>
            </w:r>
          </w:p>
        </w:tc>
        <w:tc>
          <w:tcPr>
            <w:tcW w:type="dxa" w:w="7038"/>
            <w:tcMar>
              <w:top w:type="dxa" w:w="70"/>
              <w:left w:type="dxa" w:w="120"/>
              <w:bottom w:type="dxa" w:w="70"/>
              <w:right w:type="dxa" w:w="120"/>
            </w:tcMar>
            <w:vAlign w:val="top"/>
          </w:tcPr>
          <w:p>
            <w:pPr>
              <w:spacing w:after="30" w:before="0"/>
            </w:pPr>
            <w:r>
              <w:rPr>
                <w:rFonts w:ascii="Calibri" w:cs="Calibri" w:eastAsia="Calibri" w:hAnsi="Calibri"/>
                <w:b w:val="false"/>
                <w:bCs w:val="false"/>
                <w:i w:val="false"/>
                <w:iCs w:val="false"/>
                <w:color w:val="000000"/>
                <w:sz w:val="21"/>
                <w:szCs w:val="21"/>
              </w:rPr>
              <w:t xml:space="preserve">Der Käufer nimmt die ordnungsgemäß angebotene Ware nicht an. Der Verkäufer haftet nur noch eingeschränkt, kann Mehraufwendungen wie Lagerkosten verlangen und die Ware nach Androhung öffentlich versteigern lassen.</w:t>
            </w:r>
          </w:p>
        </w:tc>
      </w:tr>
    </w:tbl>
    <w:p>
      <w:pPr>
        <w:spacing w:after="0" w:before="0"/>
      </w:pPr>
      <w:r>
        <w:rPr>
          <w:rFonts w:ascii="Calibri" w:cs="Calibri" w:eastAsia="Calibri" w:hAnsi="Calibri"/>
          <w:b w:val="false"/>
          <w:bCs w:val="false"/>
          <w:i w:val="false"/>
          <w:iCs w:val="false"/>
          <w:color w:val="000000"/>
          <w:sz w:val="21"/>
          <w:szCs w:val="21"/>
        </w:rPr>
        <w:t xml:space="preserve"/>
      </w:r>
    </w:p>
    <w:p>
      <w:pPr>
        <w:pBdr>
          <w:left w:val="single" w:color="F0A500" w:sz="18"/>
        </w:pBdr>
        <w:shd w:fill="FFF4DC" w:color="auto" w:val="clear"/>
        <w:spacing w:after="140" w:before="140"/>
        <w:ind w:left="200" w:right="100"/>
      </w:pPr>
      <w:r>
        <w:rPr>
          <w:rFonts w:ascii="Calibri" w:cs="Calibri" w:eastAsia="Calibri" w:hAnsi="Calibri"/>
          <w:b w:val="false"/>
          <w:bCs w:val="false"/>
          <w:i/>
          <w:iCs/>
          <w:color w:val="000000"/>
          <w:sz w:val="21"/>
          <w:szCs w:val="21"/>
        </w:rPr>
        <w:t xml:space="preserve">Der Basiszinssatz ändert sich zum 1. Januar und zum 1. Juli jedes Jahres. Den aktuellen Wert veröffentlicht die Deutsche Bundesbank — im Unterricht bitte tagesaktuell nachschlagen.</w:t>
      </w:r>
    </w:p>
    <w:p>
      <w:pPr>
        <w:pStyle w:val="Heading1"/>
        <w:spacing w:after="130" w:before="300"/>
      </w:pPr>
      <w:r>
        <w:rPr>
          <w:rFonts w:ascii="Calibri" w:cs="Calibri" w:eastAsia="Calibri" w:hAnsi="Calibri"/>
          <w:b/>
          <w:bCs/>
          <w:i w:val="false"/>
          <w:iCs w:val="false"/>
          <w:color w:val="003366"/>
          <w:sz w:val="28"/>
          <w:szCs w:val="28"/>
        </w:rPr>
        <w:t xml:space="preserve">6  Prüfschema für die Bearbeitung eines Störungsfalls</w:t>
      </w:r>
    </w:p>
    <w:p>
      <w:pPr>
        <w:spacing w:after="40"/>
        <w:ind w:left="340" w:hanging="260"/>
      </w:pPr>
      <w:r>
        <w:rPr>
          <w:rFonts w:ascii="Calibri" w:cs="Calibri" w:eastAsia="Calibri" w:hAnsi="Calibri"/>
          <w:b w:val="false"/>
          <w:bCs w:val="false"/>
          <w:i w:val="false"/>
          <w:iCs w:val="false"/>
          <w:color w:val="000000"/>
          <w:sz w:val="21"/>
          <w:szCs w:val="21"/>
        </w:rPr>
        <w:t xml:space="preserve">1.  Welche Störung liegt vor? Ware fehlerhaft, Ware zu spät, Ware nicht angenommen, Zahlung ausgeblieben.</w:t>
      </w:r>
    </w:p>
    <w:p>
      <w:pPr>
        <w:spacing w:after="40"/>
        <w:ind w:left="340" w:hanging="260"/>
      </w:pPr>
      <w:r>
        <w:rPr>
          <w:rFonts w:ascii="Calibri" w:cs="Calibri" w:eastAsia="Calibri" w:hAnsi="Calibri"/>
          <w:b w:val="false"/>
          <w:bCs w:val="false"/>
          <w:i w:val="false"/>
          <w:iCs w:val="false"/>
          <w:color w:val="000000"/>
          <w:sz w:val="21"/>
          <w:szCs w:val="21"/>
        </w:rPr>
        <w:t xml:space="preserve">2.  Sind die Voraussetzungen erfüllt? Bei Verzug: Fälligkeit, Mahnung oder fester Termin, Verschulden.</w:t>
      </w:r>
    </w:p>
    <w:p>
      <w:pPr>
        <w:spacing w:after="40"/>
        <w:ind w:left="340" w:hanging="260"/>
      </w:pPr>
      <w:r>
        <w:rPr>
          <w:rFonts w:ascii="Calibri" w:cs="Calibri" w:eastAsia="Calibri" w:hAnsi="Calibri"/>
          <w:b w:val="false"/>
          <w:bCs w:val="false"/>
          <w:i w:val="false"/>
          <w:iCs w:val="false"/>
          <w:color w:val="000000"/>
          <w:sz w:val="21"/>
          <w:szCs w:val="21"/>
        </w:rPr>
        <w:t xml:space="preserve">3.  Wurde rechtzeitig gerügt? Beim Handelskauf ist das der häufigste Fehler.</w:t>
      </w:r>
    </w:p>
    <w:p>
      <w:pPr>
        <w:spacing w:after="40"/>
        <w:ind w:left="340" w:hanging="260"/>
      </w:pPr>
      <w:r>
        <w:rPr>
          <w:rFonts w:ascii="Calibri" w:cs="Calibri" w:eastAsia="Calibri" w:hAnsi="Calibri"/>
          <w:b w:val="false"/>
          <w:bCs w:val="false"/>
          <w:i w:val="false"/>
          <w:iCs w:val="false"/>
          <w:color w:val="000000"/>
          <w:sz w:val="21"/>
          <w:szCs w:val="21"/>
        </w:rPr>
        <w:t xml:space="preserve">4.  Welche Rechte bestehen, und in welcher Rangfolge?</w:t>
      </w:r>
    </w:p>
    <w:p>
      <w:pPr>
        <w:spacing w:after="40"/>
        <w:ind w:left="340" w:hanging="260"/>
      </w:pPr>
      <w:r>
        <w:rPr>
          <w:rFonts w:ascii="Calibri" w:cs="Calibri" w:eastAsia="Calibri" w:hAnsi="Calibri"/>
          <w:b w:val="false"/>
          <w:bCs w:val="false"/>
          <w:i w:val="false"/>
          <w:iCs w:val="false"/>
          <w:color w:val="000000"/>
          <w:sz w:val="21"/>
          <w:szCs w:val="21"/>
        </w:rPr>
        <w:t xml:space="preserve">5.  Welches Recht ist wirtschaftlich sinnvoll? Rücktritt ist selten die beste Wahl, wenn der Arbeitsplatz schnell laufen soll.</w:t>
      </w:r>
    </w:p>
    <w:p>
      <w:pPr>
        <w:spacing w:after="40"/>
        <w:ind w:left="340" w:hanging="260"/>
      </w:pPr>
      <w:r>
        <w:rPr>
          <w:rFonts w:ascii="Calibri" w:cs="Calibri" w:eastAsia="Calibri" w:hAnsi="Calibri"/>
          <w:b w:val="false"/>
          <w:bCs w:val="false"/>
          <w:i w:val="false"/>
          <w:iCs w:val="false"/>
          <w:color w:val="000000"/>
          <w:sz w:val="21"/>
          <w:szCs w:val="21"/>
        </w:rPr>
        <w:t xml:space="preserve">6.  Wie wird gehandelt? Schriftlich, mit Frist, mit Nachweis des Zugangs.</w:t>
      </w:r>
    </w:p>
    <w:sectPr>
      <w:headerReference w:type="default" r:id="rId7"/>
      <w:footerReference w:type="default" r:id="rId8"/>
      <w:pgSz w:w="11906" w:h="16838" w:orient="portrait"/>
      <w:pgMar w:top="1080" w:right="1440" w:bottom="108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right"/>
    </w:pPr>
    <w:r>
      <w:rPr>
        <w:rFonts w:ascii="Calibri" w:cs="Calibri" w:eastAsia="Calibri" w:hAnsi="Calibri"/>
        <w:b w:val="false"/>
        <w:bCs w:val="false"/>
        <w:i w:val="false"/>
        <w:iCs w:val="false"/>
        <w:color w:val="666666"/>
        <w:sz w:val="15"/>
        <w:szCs w:val="15"/>
      </w:rPr>
      <w:t xml:space="preserve">Stand: 10.08.2026  ·  Seite </w:t>
    </w:r>
    <w:r>
      <w:rPr>
        <w:rFonts w:ascii="Calibri" w:cs="Calibri" w:eastAsia="Calibri" w:hAnsi="Calibri"/>
        <w:color w:val="666666"/>
        <w:sz w:val="15"/>
        <w:szCs w:val="15"/>
      </w:rPr>
      <w:fldChar w:fldCharType="begin"/>
      <w:instrText xml:space="preserve">PAGE</w:instrText>
      <w:fldChar w:fldCharType="separate"/>
      <w:fldChar w:fldCharType="end"/>
    </w:r>
    <w:r>
      <w:rPr>
        <w:rFonts w:ascii="Calibri" w:cs="Calibri" w:eastAsia="Calibri" w:hAnsi="Calibri"/>
        <w:b w:val="false"/>
        <w:bCs w:val="false"/>
        <w:i w:val="false"/>
        <w:iCs w:val="false"/>
        <w:color w:val="666666"/>
        <w:sz w:val="15"/>
        <w:szCs w:val="15"/>
      </w:rPr>
      <w:t xml:space="preserve"> von </w:t>
    </w:r>
    <w:r>
      <w:rPr>
        <w:rFonts w:ascii="Calibri" w:cs="Calibri" w:eastAsia="Calibri" w:hAnsi="Calibri"/>
        <w:color w:val="666666"/>
        <w:sz w:val="15"/>
        <w:szCs w:val="15"/>
      </w:rPr>
      <w:fldChar w:fldCharType="begin"/>
      <w:instrText xml:space="preserve">NUMPAGES</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pBdr>
        <w:bottom w:val="single" w:color="F0A500" w:sz="8"/>
      </w:pBdr>
      <w:spacing w:after="70"/>
    </w:pPr>
    <w:r>
      <w:rPr>
        <w:rFonts w:ascii="Calibri" w:cs="Calibri" w:eastAsia="Calibri" w:hAnsi="Calibri"/>
        <w:b/>
        <w:bCs/>
        <w:i w:val="false"/>
        <w:iCs w:val="false"/>
        <w:color w:val="003366"/>
        <w:sz w:val="16"/>
        <w:szCs w:val="16"/>
      </w:rPr>
      <w:t xml:space="preserve">bfw – Umschulung Fachinformatiker/-in  |  Modul B / LF 2  |  LE 08 Kaufvertrag und Beschaffung</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sz w:val="21"/>
        <w:szCs w:val="21"/>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header" Target="header1.xml"/><Relationship Id="rId8" Type="http://schemas.openxmlformats.org/officeDocument/2006/relationships/footer" Target="footer1.xml"/><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Kaufvertrag und Vertragsstörungen</dc:title>
  <dc:creator>bfw</dc:creator>
  <cp:lastModifiedBy>Un-named</cp:lastModifiedBy>
  <cp:revision>1</cp:revision>
  <dcterms:created xsi:type="dcterms:W3CDTF">2026-08-10T10:54:49.294Z</dcterms:created>
  <dcterms:modified xsi:type="dcterms:W3CDTF">2026-08-10T10:54:49.294Z</dcterms:modified>
</cp:coreProperties>
</file>

<file path=docProps/custom.xml><?xml version="1.0" encoding="utf-8"?>
<Properties xmlns="http://schemas.openxmlformats.org/officeDocument/2006/custom-properties" xmlns:vt="http://schemas.openxmlformats.org/officeDocument/2006/docPropsVTypes"/>
</file>