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Vertragsstörungen in der Beschaffung</w:t>
      </w:r>
    </w:p>
    <w:p>
      <w:pPr>
        <w:spacing w:after="220"/>
      </w:pPr>
      <w:r>
        <w:rPr>
          <w:rFonts w:ascii="Calibri" w:cs="Calibri" w:eastAsia="Calibri" w:hAnsi="Calibri"/>
          <w:b w:val="false"/>
          <w:bCs w:val="false"/>
          <w:i w:val="false"/>
          <w:iCs w:val="false"/>
          <w:color w:val="0066AA"/>
          <w:sz w:val="22"/>
          <w:szCs w:val="22"/>
        </w:rPr>
        <w:t xml:space="preserve">Vier Fälle aus dem Beschaffungsalltag der KONTURA GmbH  ·  50 Punkte  ·  Bearbeitungszeit 90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Bearbeiten Sie die Fälle in Gruppen zu drei Personen. Nutzen Sie das Prüfschema aus dem Handout. Begründen Sie jede Antwort — die reine Nennung eines Rechts reicht nicht aus. Zu Fall 1 und Fall 3 verfassen Sie zusätzlich eine formgerechte Mängelrüge auf der beiliegenden Vorlage.</w:t>
      </w:r>
    </w:p>
    <w:p>
      <w:pPr>
        <w:pStyle w:val="Heading1"/>
        <w:spacing w:after="130" w:before="300"/>
      </w:pPr>
      <w:r>
        <w:rPr>
          <w:rFonts w:ascii="Calibri" w:cs="Calibri" w:eastAsia="Calibri" w:hAnsi="Calibri"/>
          <w:b/>
          <w:bCs/>
          <w:i w:val="false"/>
          <w:iCs w:val="false"/>
          <w:color w:val="003366"/>
          <w:sz w:val="28"/>
          <w:szCs w:val="28"/>
        </w:rPr>
        <w:t xml:space="preserve">Fall 1  Der falsche Arbeitsspeicher</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Die KONTURA GmbH bestellt am 3. März bei der Nordbit Handels GmbH zwölf Speichermodule DDR5-5600 mit 16 GB. Beide Unternehmen sind Kaufleute. Am 10. März wird geliefert. Der Auszubildende nimmt die Ware entgegen, stellt den Karton ins Lager und öffnet ihn nicht. Am 2. April wird beim Einbau festgestellt, dass DDR4-Module geliefert wurden. KONTURA meldet sich noch am selben Tag bei Nordbit. Nordbit lehnt jede Reaktion ab.</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6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60"/>
        <w:ind w:left="340" w:hanging="260"/>
      </w:pPr>
      <w:r>
        <w:rPr>
          <w:rFonts w:ascii="Calibri" w:cs="Calibri" w:eastAsia="Calibri" w:hAnsi="Calibri"/>
          <w:b w:val="false"/>
          <w:bCs w:val="false"/>
          <w:i w:val="false"/>
          <w:iCs w:val="false"/>
          <w:color w:val="000000"/>
          <w:sz w:val="21"/>
          <w:szCs w:val="21"/>
        </w:rPr>
        <w:t xml:space="preserve">a)  Welche Vertragsstörung liegt vor?</w:t>
      </w:r>
    </w:p>
    <w:p>
      <w:pPr>
        <w:spacing w:after="60"/>
        <w:ind w:left="340" w:hanging="260"/>
      </w:pPr>
      <w:r>
        <w:rPr>
          <w:rFonts w:ascii="Calibri" w:cs="Calibri" w:eastAsia="Calibri" w:hAnsi="Calibri"/>
          <w:b w:val="false"/>
          <w:bCs w:val="false"/>
          <w:i w:val="false"/>
          <w:iCs w:val="false"/>
          <w:color w:val="000000"/>
          <w:sz w:val="21"/>
          <w:szCs w:val="21"/>
        </w:rPr>
        <w:t xml:space="preserve">b)  Beurteilen Sie, ob KONTURA seine Mängelrechte noch geltend machen kann.</w:t>
      </w:r>
    </w:p>
    <w:p>
      <w:pPr>
        <w:spacing w:after="60"/>
        <w:ind w:left="340" w:hanging="260"/>
      </w:pPr>
      <w:r>
        <w:rPr>
          <w:rFonts w:ascii="Calibri" w:cs="Calibri" w:eastAsia="Calibri" w:hAnsi="Calibri"/>
          <w:b w:val="false"/>
          <w:bCs w:val="false"/>
          <w:i w:val="false"/>
          <w:iCs w:val="false"/>
          <w:color w:val="000000"/>
          <w:sz w:val="21"/>
          <w:szCs w:val="21"/>
        </w:rPr>
        <w:t xml:space="preserve">c)  Welche Konsequenz ziehen Sie für die Organisation des Wareneingangs bei KONTURA?</w:t>
      </w:r>
    </w:p>
    <w:p>
      <w:pPr>
        <w:spacing w:after="100" w:before="0"/>
      </w:pPr>
      <w:r>
        <w:rPr>
          <w:rFonts w:ascii="Calibri" w:cs="Calibri" w:eastAsia="Calibri" w:hAnsi="Calibri"/>
          <w:b w:val="false"/>
          <w:bCs w:val="false"/>
          <w:i/>
          <w:iCs/>
          <w:color w:val="000000"/>
          <w:sz w:val="21"/>
          <w:szCs w:val="21"/>
        </w:rPr>
        <w:t xml:space="preserve">(12 Punkte)</w:t>
      </w:r>
    </w:p>
    <w:p>
      <w:pPr>
        <w:pStyle w:val="Heading1"/>
        <w:spacing w:after="130" w:before="300"/>
      </w:pPr>
      <w:r>
        <w:rPr>
          <w:rFonts w:ascii="Calibri" w:cs="Calibri" w:eastAsia="Calibri" w:hAnsi="Calibri"/>
          <w:b/>
          <w:bCs/>
          <w:i w:val="false"/>
          <w:iCs w:val="false"/>
          <w:color w:val="003366"/>
          <w:sz w:val="28"/>
          <w:szCs w:val="28"/>
        </w:rPr>
        <w:t xml:space="preserve">Fall 2  Der Liefertermin verstreicht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KONTURA bestellt acht Notebooks für einen neuen Kundenauftrag. In der Auftragsbestätigung steht: „Lieferung am 14. September". Am 14. September wird nicht geliefert. Am 18. September ruft KONTURA an und erhält die Auskunft, es könne noch dauern. Der Kundenauftrag muss am 25. September übergeben werden. KONTURA kauft am 19. September acht vergleichbare Notebooks bei einem anderen Händler und zahlt dafür 480 Euro mehr.</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6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60"/>
        <w:ind w:left="340" w:hanging="260"/>
      </w:pPr>
      <w:r>
        <w:rPr>
          <w:rFonts w:ascii="Calibri" w:cs="Calibri" w:eastAsia="Calibri" w:hAnsi="Calibri"/>
          <w:b w:val="false"/>
          <w:bCs w:val="false"/>
          <w:i w:val="false"/>
          <w:iCs w:val="false"/>
          <w:color w:val="000000"/>
          <w:sz w:val="21"/>
          <w:szCs w:val="21"/>
        </w:rPr>
        <w:t xml:space="preserve">a)  Liegt Lieferungsverzug vor? Begründen Sie anhand der Voraussetzungen.</w:t>
      </w:r>
    </w:p>
    <w:p>
      <w:pPr>
        <w:spacing w:after="60"/>
        <w:ind w:left="340" w:hanging="260"/>
      </w:pPr>
      <w:r>
        <w:rPr>
          <w:rFonts w:ascii="Calibri" w:cs="Calibri" w:eastAsia="Calibri" w:hAnsi="Calibri"/>
          <w:b w:val="false"/>
          <w:bCs w:val="false"/>
          <w:i w:val="false"/>
          <w:iCs w:val="false"/>
          <w:color w:val="000000"/>
          <w:sz w:val="21"/>
          <w:szCs w:val="21"/>
        </w:rPr>
        <w:t xml:space="preserve">b)  War eine Mahnung erforderlich?</w:t>
      </w:r>
    </w:p>
    <w:p>
      <w:pPr>
        <w:spacing w:after="60"/>
        <w:ind w:left="340" w:hanging="260"/>
      </w:pPr>
      <w:r>
        <w:rPr>
          <w:rFonts w:ascii="Calibri" w:cs="Calibri" w:eastAsia="Calibri" w:hAnsi="Calibri"/>
          <w:b w:val="false"/>
          <w:bCs w:val="false"/>
          <w:i w:val="false"/>
          <w:iCs w:val="false"/>
          <w:color w:val="000000"/>
          <w:sz w:val="21"/>
          <w:szCs w:val="21"/>
        </w:rPr>
        <w:t xml:space="preserve">c)  Welche Rechte hat KONTURA, und welches sollte in dieser Lage gewählt werden?</w:t>
      </w:r>
    </w:p>
    <w:p>
      <w:pPr>
        <w:spacing w:after="60"/>
        <w:ind w:left="340" w:hanging="260"/>
      </w:pPr>
      <w:r>
        <w:rPr>
          <w:rFonts w:ascii="Calibri" w:cs="Calibri" w:eastAsia="Calibri" w:hAnsi="Calibri"/>
          <w:b w:val="false"/>
          <w:bCs w:val="false"/>
          <w:i w:val="false"/>
          <w:iCs w:val="false"/>
          <w:color w:val="000000"/>
          <w:sz w:val="21"/>
          <w:szCs w:val="21"/>
        </w:rPr>
        <w:t xml:space="preserve">d)  Kann KONTURA die 480 Euro Mehrkosten verlangen? Was muss dafür vorher geschehen?</w:t>
      </w:r>
    </w:p>
    <w:p>
      <w:pPr>
        <w:spacing w:after="100" w:before="0"/>
      </w:pPr>
      <w:r>
        <w:rPr>
          <w:rFonts w:ascii="Calibri" w:cs="Calibri" w:eastAsia="Calibri" w:hAnsi="Calibri"/>
          <w:b w:val="false"/>
          <w:bCs w:val="false"/>
          <w:i/>
          <w:iCs/>
          <w:color w:val="000000"/>
          <w:sz w:val="21"/>
          <w:szCs w:val="21"/>
        </w:rPr>
        <w:t xml:space="preserve">(14 Punkte)</w:t>
      </w:r>
    </w:p>
    <w:p>
      <w:pPr>
        <w:pStyle w:val="Heading1"/>
        <w:spacing w:after="130" w:before="300"/>
      </w:pPr>
      <w:r>
        <w:rPr>
          <w:rFonts w:ascii="Calibri" w:cs="Calibri" w:eastAsia="Calibri" w:hAnsi="Calibri"/>
          <w:b/>
          <w:bCs/>
          <w:i w:val="false"/>
          <w:iCs w:val="false"/>
          <w:color w:val="003366"/>
          <w:sz w:val="28"/>
          <w:szCs w:val="28"/>
        </w:rPr>
        <w:t xml:space="preserve">Fall 3  Zwei Monitore fehlen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Bestellt wurden zwölf Monitore, geliefert werden zehn. Der Lieferschein weist zwölf Stück aus. KONTURA prüft die Lieferung am Tag des Eingangs und meldet die Abweichung am folgenden Vormittag schriftlich. Der Lieferant bietet an, die beiden fehlenden Monitore in vier Wochen nachzuliefern, und weist darauf hin, dass eine Minderlieferung kein Mangel sei.</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6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60"/>
        <w:ind w:left="340" w:hanging="260"/>
      </w:pPr>
      <w:r>
        <w:rPr>
          <w:rFonts w:ascii="Calibri" w:cs="Calibri" w:eastAsia="Calibri" w:hAnsi="Calibri"/>
          <w:b w:val="false"/>
          <w:bCs w:val="false"/>
          <w:i w:val="false"/>
          <w:iCs w:val="false"/>
          <w:color w:val="000000"/>
          <w:sz w:val="21"/>
          <w:szCs w:val="21"/>
        </w:rPr>
        <w:t xml:space="preserve">a)  Beurteilen Sie die Aussage des Lieferanten.</w:t>
      </w:r>
    </w:p>
    <w:p>
      <w:pPr>
        <w:spacing w:after="60"/>
        <w:ind w:left="340" w:hanging="260"/>
      </w:pPr>
      <w:r>
        <w:rPr>
          <w:rFonts w:ascii="Calibri" w:cs="Calibri" w:eastAsia="Calibri" w:hAnsi="Calibri"/>
          <w:b w:val="false"/>
          <w:bCs w:val="false"/>
          <w:i w:val="false"/>
          <w:iCs w:val="false"/>
          <w:color w:val="000000"/>
          <w:sz w:val="21"/>
          <w:szCs w:val="21"/>
        </w:rPr>
        <w:t xml:space="preserve">b)  Welche Rechte hat KONTURA?</w:t>
      </w:r>
    </w:p>
    <w:p>
      <w:pPr>
        <w:spacing w:after="60"/>
        <w:ind w:left="340" w:hanging="260"/>
      </w:pPr>
      <w:r>
        <w:rPr>
          <w:rFonts w:ascii="Calibri" w:cs="Calibri" w:eastAsia="Calibri" w:hAnsi="Calibri"/>
          <w:b w:val="false"/>
          <w:bCs w:val="false"/>
          <w:i w:val="false"/>
          <w:iCs w:val="false"/>
          <w:color w:val="000000"/>
          <w:sz w:val="21"/>
          <w:szCs w:val="21"/>
        </w:rPr>
        <w:t xml:space="preserve">c)  Der Kundentermin ist in zwei Wochen. Welches Vorgehen empfehlen Sie und warum?</w:t>
      </w:r>
    </w:p>
    <w:p>
      <w:pPr>
        <w:spacing w:after="100" w:before="0"/>
      </w:pPr>
      <w:r>
        <w:rPr>
          <w:rFonts w:ascii="Calibri" w:cs="Calibri" w:eastAsia="Calibri" w:hAnsi="Calibri"/>
          <w:b w:val="false"/>
          <w:bCs w:val="false"/>
          <w:i/>
          <w:iCs/>
          <w:color w:val="000000"/>
          <w:sz w:val="21"/>
          <w:szCs w:val="21"/>
        </w:rPr>
        <w:t xml:space="preserve">(12 Punkte)</w:t>
      </w:r>
    </w:p>
    <w:p>
      <w:pPr>
        <w:pStyle w:val="Heading1"/>
        <w:spacing w:after="130" w:before="300"/>
      </w:pPr>
      <w:r>
        <w:rPr>
          <w:rFonts w:ascii="Calibri" w:cs="Calibri" w:eastAsia="Calibri" w:hAnsi="Calibri"/>
          <w:b/>
          <w:bCs/>
          <w:i w:val="false"/>
          <w:iCs w:val="false"/>
          <w:color w:val="003366"/>
          <w:sz w:val="28"/>
          <w:szCs w:val="28"/>
        </w:rPr>
        <w:t xml:space="preserve">Fall 4  Der Kunde zahlt nicht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KONTURA hat einen eingerichteten Arbeitsplatz übergeben und am 2. Mai die Rechnung über 4.200 Euro gestellt, zahlbar innerhalb von 14 Tagen. Am 20. Juni ist noch kein Geld eingegangen. Der Kunde ist ein Handwerksbetrieb, also kein Verbraucher. Eine Mahnung wurde bisher nicht verschickt.</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6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60"/>
        <w:ind w:left="340" w:hanging="260"/>
      </w:pPr>
      <w:r>
        <w:rPr>
          <w:rFonts w:ascii="Calibri" w:cs="Calibri" w:eastAsia="Calibri" w:hAnsi="Calibri"/>
          <w:b w:val="false"/>
          <w:bCs w:val="false"/>
          <w:i w:val="false"/>
          <w:iCs w:val="false"/>
          <w:color w:val="000000"/>
          <w:sz w:val="21"/>
          <w:szCs w:val="21"/>
        </w:rPr>
        <w:t xml:space="preserve">a)  Befindet sich der Kunde in Zahlungsverzug? Ab wann?</w:t>
      </w:r>
    </w:p>
    <w:p>
      <w:pPr>
        <w:spacing w:after="60"/>
        <w:ind w:left="340" w:hanging="260"/>
      </w:pPr>
      <w:r>
        <w:rPr>
          <w:rFonts w:ascii="Calibri" w:cs="Calibri" w:eastAsia="Calibri" w:hAnsi="Calibri"/>
          <w:b w:val="false"/>
          <w:bCs w:val="false"/>
          <w:i w:val="false"/>
          <w:iCs w:val="false"/>
          <w:color w:val="000000"/>
          <w:sz w:val="21"/>
          <w:szCs w:val="21"/>
        </w:rPr>
        <w:t xml:space="preserve">b)  War eine Mahnung nötig?</w:t>
      </w:r>
    </w:p>
    <w:p>
      <w:pPr>
        <w:spacing w:after="60"/>
        <w:ind w:left="340" w:hanging="260"/>
      </w:pPr>
      <w:r>
        <w:rPr>
          <w:rFonts w:ascii="Calibri" w:cs="Calibri" w:eastAsia="Calibri" w:hAnsi="Calibri"/>
          <w:b w:val="false"/>
          <w:bCs w:val="false"/>
          <w:i w:val="false"/>
          <w:iCs w:val="false"/>
          <w:color w:val="000000"/>
          <w:sz w:val="21"/>
          <w:szCs w:val="21"/>
        </w:rPr>
        <w:t xml:space="preserve">c)  Welche Ansprüche hat KONTURA neben der Hauptforderung?</w:t>
      </w:r>
    </w:p>
    <w:p>
      <w:pPr>
        <w:spacing w:after="60"/>
        <w:ind w:left="340" w:hanging="260"/>
      </w:pPr>
      <w:r>
        <w:rPr>
          <w:rFonts w:ascii="Calibri" w:cs="Calibri" w:eastAsia="Calibri" w:hAnsi="Calibri"/>
          <w:b w:val="false"/>
          <w:bCs w:val="false"/>
          <w:i w:val="false"/>
          <w:iCs w:val="false"/>
          <w:color w:val="000000"/>
          <w:sz w:val="21"/>
          <w:szCs w:val="21"/>
        </w:rPr>
        <w:t xml:space="preserve">d)  Formulieren Sie in zwei Sätzen, wie Sie den Kunden anschreiben — sachlich und ohne die Geschäftsbeziehung zu beschädigen.</w:t>
      </w:r>
    </w:p>
    <w:p>
      <w:pPr>
        <w:spacing w:after="100" w:before="0"/>
      </w:pPr>
      <w:r>
        <w:rPr>
          <w:rFonts w:ascii="Calibri" w:cs="Calibri" w:eastAsia="Calibri" w:hAnsi="Calibri"/>
          <w:b w:val="false"/>
          <w:bCs w:val="false"/>
          <w:i/>
          <w:iCs/>
          <w:color w:val="000000"/>
          <w:sz w:val="21"/>
          <w:szCs w:val="21"/>
        </w:rPr>
        <w:t xml:space="preserve">(12 Punkte)</w:t>
      </w:r>
    </w:p>
    <w:p>
      <w:pPr>
        <w:pStyle w:val="Heading1"/>
        <w:spacing w:after="130" w:before="300"/>
      </w:pPr>
      <w:r>
        <w:rPr>
          <w:rFonts w:ascii="Calibri" w:cs="Calibri" w:eastAsia="Calibri" w:hAnsi="Calibri"/>
          <w:b/>
          <w:bCs/>
          <w:i w:val="false"/>
          <w:iCs w:val="false"/>
          <w:color w:val="003366"/>
          <w:sz w:val="28"/>
          <w:szCs w:val="28"/>
        </w:rPr>
        <w:t xml:space="preserve">Abschluss</w:t>
      </w:r>
    </w:p>
    <w:p>
      <w:pPr>
        <w:spacing w:after="40"/>
        <w:ind w:left="280" w:hanging="200"/>
      </w:pPr>
      <w:r>
        <w:rPr>
          <w:rFonts w:ascii="Calibri" w:cs="Calibri" w:eastAsia="Calibri" w:hAnsi="Calibri"/>
          <w:b w:val="false"/>
          <w:bCs w:val="false"/>
          <w:i w:val="false"/>
          <w:iCs w:val="false"/>
          <w:color w:val="000000"/>
          <w:sz w:val="21"/>
          <w:szCs w:val="21"/>
        </w:rPr>
        <w:t xml:space="preserve">– Jede Gruppe stellt einen Fall im Plenum vor: Störung, Voraussetzungen, gewähltes Recht, Begründung.</w:t>
      </w:r>
    </w:p>
    <w:p>
      <w:pPr>
        <w:spacing w:after="40"/>
        <w:ind w:left="280" w:hanging="200"/>
      </w:pPr>
      <w:r>
        <w:rPr>
          <w:rFonts w:ascii="Calibri" w:cs="Calibri" w:eastAsia="Calibri" w:hAnsi="Calibri"/>
          <w:b w:val="false"/>
          <w:bCs w:val="false"/>
          <w:i w:val="false"/>
          <w:iCs w:val="false"/>
          <w:color w:val="000000"/>
          <w:sz w:val="21"/>
          <w:szCs w:val="21"/>
        </w:rPr>
        <w:t xml:space="preserve">– Diskutieren Sie am Ende: In welchem der vier Fälle wäre ein Rücktritt vom Vertrag wirtschaftlich unklug, obwohl er rechtlich möglich wäre?</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08 Kaufvertrag und Beschaffung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Vertragsstörungen in der Beschaffung</dc:title>
  <dc:creator>bfw</dc:creator>
  <cp:lastModifiedBy>Un-named</cp:lastModifiedBy>
  <cp:revision>1</cp:revision>
  <dcterms:created xsi:type="dcterms:W3CDTF">2026-08-10T10:54:49.330Z</dcterms:created>
  <dcterms:modified xsi:type="dcterms:W3CDTF">2026-08-10T10:54:49.330Z</dcterms:modified>
</cp:coreProperties>
</file>

<file path=docProps/custom.xml><?xml version="1.0" encoding="utf-8"?>
<Properties xmlns="http://schemas.openxmlformats.org/officeDocument/2006/custom-properties" xmlns:vt="http://schemas.openxmlformats.org/officeDocument/2006/docPropsVTypes"/>
</file>