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Angebote vergleichen und Lieferanten auswählen</w:t>
      </w:r>
    </w:p>
    <w:p>
      <w:pPr>
        <w:spacing w:after="220"/>
      </w:pPr>
      <w:r>
        <w:rPr>
          <w:rFonts w:ascii="Calibri" w:cs="Calibri" w:eastAsia="Calibri" w:hAnsi="Calibri"/>
          <w:b w:val="false"/>
          <w:bCs w:val="false"/>
          <w:i w:val="false"/>
          <w:iCs w:val="false"/>
          <w:color w:val="0066AA"/>
          <w:sz w:val="22"/>
          <w:szCs w:val="22"/>
        </w:rPr>
        <w:t xml:space="preserve">Aufgabenblatt  ·  50 Punkte  ·  Bearbeitungszeit 120 Minuten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Für den Auftrag Steinbach &amp; Partner liegen drei Angebote über die komplette Hardware vor. Sie führen zuerst den quantitativen, dann den qualitativen Vergleich durch und sprechen am Ende eine begründete Empfehlung aus. Runden Sie erst das Endergebnis auf zwei Nachkommastellen.</w:t>
      </w:r>
    </w:p>
    <w:p>
      <w:pPr>
        <w:pStyle w:val="Heading1"/>
        <w:spacing w:after="130" w:before="300"/>
      </w:pPr>
      <w:r>
        <w:rPr>
          <w:rFonts w:ascii="Calibri" w:cs="Calibri" w:eastAsia="Calibri" w:hAnsi="Calibri"/>
          <w:b/>
          <w:bCs/>
          <w:i w:val="false"/>
          <w:iCs w:val="false"/>
          <w:color w:val="003366"/>
          <w:sz w:val="28"/>
          <w:szCs w:val="28"/>
        </w:rPr>
        <w:t xml:space="preserve">Die drei Angebote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938"/>
        <w:gridCol w:w="2300"/>
        <w:gridCol w:w="2300"/>
        <w:gridCol w:w="2100"/>
      </w:tblGrid>
      <w:tr>
        <w:trPr>
          <w:tblHeader/>
        </w:trPr>
        <w:tc>
          <w:tcPr>
            <w:tcW w:type="dxa" w:w="29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
            </w:r>
          </w:p>
        </w:tc>
        <w:tc>
          <w:tcPr>
            <w:tcW w:type="dxa" w:w="23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Angebot A</w:t>
            </w:r>
          </w:p>
        </w:tc>
        <w:tc>
          <w:tcPr>
            <w:tcW w:type="dxa" w:w="23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Angebot B</w:t>
            </w:r>
          </w:p>
        </w:tc>
        <w:tc>
          <w:tcPr>
            <w:tcW w:type="dxa" w:w="21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Angebot C</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Listeneinkaufspreis</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12.400,00 €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13.200,00 €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11.900,00 €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Liefererrabatt</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12 %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20 %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8 %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Liefererskonto</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3 %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kein Skonto</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Bezugskosten</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180,00 €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frei Haus</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250,00 €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Lieferzeit</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5 Arbeitstage</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12 Arbeitstage</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3 Arbeitstage</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Garantie</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3 Jahre Bring-in</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5 Jahre vor Ort</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 Jahre Bring-in</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Umweltzeichen</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teilweise</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durchgängig TCO Certified</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keine</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Erfahrung mit dem Lieferanten</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gut</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bisher keine</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wechselhaft</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Aufgabe 1  Quantitativer Vergleich  (18 Punkte)</w:t>
      </w:r>
    </w:p>
    <w:p>
      <w:pPr>
        <w:spacing w:after="100" w:before="0"/>
      </w:pPr>
      <w:r>
        <w:rPr>
          <w:rFonts w:ascii="Calibri" w:cs="Calibri" w:eastAsia="Calibri" w:hAnsi="Calibri"/>
          <w:b w:val="false"/>
          <w:bCs w:val="false"/>
          <w:i w:val="false"/>
          <w:iCs w:val="false"/>
          <w:color w:val="000000"/>
          <w:sz w:val="21"/>
          <w:szCs w:val="21"/>
        </w:rPr>
        <w:t xml:space="preserve">Ermitteln Sie für jedes Angebot den Bezugspreis. Weisen Sie alle Zwischenstufen aus.</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938"/>
        <w:gridCol w:w="2300"/>
        <w:gridCol w:w="2300"/>
        <w:gridCol w:w="2100"/>
      </w:tblGrid>
      <w:tr>
        <w:trPr>
          <w:tblHeader/>
        </w:trPr>
        <w:tc>
          <w:tcPr>
            <w:tcW w:type="dxa" w:w="29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Stufe</w:t>
            </w:r>
          </w:p>
        </w:tc>
        <w:tc>
          <w:tcPr>
            <w:tcW w:type="dxa" w:w="23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w:t>
            </w:r>
          </w:p>
        </w:tc>
        <w:tc>
          <w:tcPr>
            <w:tcW w:type="dxa" w:w="23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w:t>
            </w:r>
          </w:p>
        </w:tc>
        <w:tc>
          <w:tcPr>
            <w:tcW w:type="dxa" w:w="21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C</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Listeneinkaufspreis</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Liefererrabatt</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Zieleinkaufspreis</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Liefererskonto</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Bareinkaufspreis</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Bezugskosten</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Bezugspreis</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3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40"/>
        <w:ind w:left="280" w:hanging="200"/>
      </w:pPr>
      <w:r>
        <w:rPr>
          <w:rFonts w:ascii="Calibri" w:cs="Calibri" w:eastAsia="Calibri" w:hAnsi="Calibri"/>
          <w:b w:val="false"/>
          <w:bCs w:val="false"/>
          <w:i w:val="false"/>
          <w:iCs w:val="false"/>
          <w:color w:val="000000"/>
          <w:sz w:val="21"/>
          <w:szCs w:val="21"/>
        </w:rPr>
        <w:t xml:space="preserve">– a) Welches Angebot ist rein rechnerisch das günstigste? (2 P)</w:t>
      </w:r>
    </w:p>
    <w:p>
      <w:pPr>
        <w:spacing w:after="40"/>
        <w:ind w:left="280" w:hanging="200"/>
      </w:pPr>
      <w:r>
        <w:rPr>
          <w:rFonts w:ascii="Calibri" w:cs="Calibri" w:eastAsia="Calibri" w:hAnsi="Calibri"/>
          <w:b w:val="false"/>
          <w:bCs w:val="false"/>
          <w:i w:val="false"/>
          <w:iCs w:val="false"/>
          <w:color w:val="000000"/>
          <w:sz w:val="21"/>
          <w:szCs w:val="21"/>
        </w:rPr>
        <w:t xml:space="preserve">– b) Welches Angebot hat den niedrigsten Listeneinkaufspreis? Erklären Sie, warum das für die Entscheidung nichts aussagt. (3 P)</w:t>
      </w:r>
    </w:p>
    <w:p>
      <w:pPr>
        <w:pStyle w:val="Heading1"/>
        <w:spacing w:after="130" w:before="300"/>
      </w:pPr>
      <w:r>
        <w:rPr>
          <w:rFonts w:ascii="Calibri" w:cs="Calibri" w:eastAsia="Calibri" w:hAnsi="Calibri"/>
          <w:b/>
          <w:bCs/>
          <w:i w:val="false"/>
          <w:iCs w:val="false"/>
          <w:color w:val="003366"/>
          <w:sz w:val="28"/>
          <w:szCs w:val="28"/>
        </w:rPr>
        <w:t xml:space="preserve">Aufgabe 2  Qualitativer Vergleich  (16 Punkte)</w:t>
      </w:r>
    </w:p>
    <w:p>
      <w:pPr>
        <w:spacing w:after="100" w:before="0"/>
      </w:pPr>
      <w:r>
        <w:rPr>
          <w:rFonts w:ascii="Calibri" w:cs="Calibri" w:eastAsia="Calibri" w:hAnsi="Calibri"/>
          <w:b w:val="false"/>
          <w:bCs w:val="false"/>
          <w:i w:val="false"/>
          <w:iCs w:val="false"/>
          <w:color w:val="000000"/>
          <w:sz w:val="21"/>
          <w:szCs w:val="21"/>
        </w:rPr>
        <w:t xml:space="preserve">Führen Sie eine Nutzwertanalyse durch. Verwenden Sie die folgende Gewichtung und die vorgegebenen Bewertungen auf einer Skala von 1 bis 10.</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938"/>
        <w:gridCol w:w="1600"/>
        <w:gridCol w:w="1700"/>
        <w:gridCol w:w="1700"/>
        <w:gridCol w:w="1700"/>
      </w:tblGrid>
      <w:tr>
        <w:trPr>
          <w:tblHeader/>
        </w:trPr>
        <w:tc>
          <w:tcPr>
            <w:tcW w:type="dxa" w:w="29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Kriterium</w:t>
            </w:r>
          </w:p>
        </w:tc>
        <w:tc>
          <w:tcPr>
            <w:tcW w:type="dxa" w:w="1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Gewicht</w:t>
            </w:r>
          </w:p>
        </w:tc>
        <w:tc>
          <w:tcPr>
            <w:tcW w:type="dxa" w:w="17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w:t>
            </w:r>
          </w:p>
        </w:tc>
        <w:tc>
          <w:tcPr>
            <w:tcW w:type="dxa" w:w="17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w:t>
            </w:r>
          </w:p>
        </w:tc>
        <w:tc>
          <w:tcPr>
            <w:tcW w:type="dxa" w:w="17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C</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Preis</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40 %</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8</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7</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Lieferzeit</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25 %</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7</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Service und Garantie</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20 %</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6</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5</w:t>
            </w:r>
          </w:p>
        </w:tc>
      </w:tr>
      <w:tr>
        <w:trPr>
          <w:cantSplit w:val="false"/>
        </w:trPr>
        <w:tc>
          <w:tcPr>
            <w:tcW w:type="dxa" w:w="29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Nachhaltigkeit</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15 %</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5</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w:t>
            </w:r>
          </w:p>
        </w:tc>
        <w:tc>
          <w:tcPr>
            <w:tcW w:type="dxa" w:w="17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40"/>
        <w:ind w:left="280" w:hanging="200"/>
      </w:pPr>
      <w:r>
        <w:rPr>
          <w:rFonts w:ascii="Calibri" w:cs="Calibri" w:eastAsia="Calibri" w:hAnsi="Calibri"/>
          <w:b w:val="false"/>
          <w:bCs w:val="false"/>
          <w:i w:val="false"/>
          <w:iCs w:val="false"/>
          <w:color w:val="000000"/>
          <w:sz w:val="21"/>
          <w:szCs w:val="21"/>
        </w:rPr>
        <w:t xml:space="preserve">– a) Berechnen Sie die Teilnutzen und den Gesamtnutzwert jedes Angebots. (9 P)</w:t>
      </w:r>
    </w:p>
    <w:p>
      <w:pPr>
        <w:spacing w:after="40"/>
        <w:ind w:left="280" w:hanging="200"/>
      </w:pPr>
      <w:r>
        <w:rPr>
          <w:rFonts w:ascii="Calibri" w:cs="Calibri" w:eastAsia="Calibri" w:hAnsi="Calibri"/>
          <w:b w:val="false"/>
          <w:bCs w:val="false"/>
          <w:i w:val="false"/>
          <w:iCs w:val="false"/>
          <w:color w:val="000000"/>
          <w:sz w:val="21"/>
          <w:szCs w:val="21"/>
        </w:rPr>
        <w:t xml:space="preserve">– b) Welches Angebot führt nach der Nutzwertanalyse? (2 P)</w:t>
      </w:r>
    </w:p>
    <w:p>
      <w:pPr>
        <w:spacing w:after="40"/>
        <w:ind w:left="280" w:hanging="200"/>
      </w:pPr>
      <w:r>
        <w:rPr>
          <w:rFonts w:ascii="Calibri" w:cs="Calibri" w:eastAsia="Calibri" w:hAnsi="Calibri"/>
          <w:b w:val="false"/>
          <w:bCs w:val="false"/>
          <w:i w:val="false"/>
          <w:iCs w:val="false"/>
          <w:color w:val="000000"/>
          <w:sz w:val="21"/>
          <w:szCs w:val="21"/>
        </w:rPr>
        <w:t xml:space="preserve">– c) Warum wurde der Preis mit 40 Prozent gewichtet und nicht mit 100 Prozent? Begründen Sie in zwei Sätzen. (2 P)</w:t>
      </w:r>
    </w:p>
    <w:p>
      <w:pPr>
        <w:spacing w:after="40"/>
        <w:ind w:left="280" w:hanging="200"/>
      </w:pPr>
      <w:r>
        <w:rPr>
          <w:rFonts w:ascii="Calibri" w:cs="Calibri" w:eastAsia="Calibri" w:hAnsi="Calibri"/>
          <w:b w:val="false"/>
          <w:bCs w:val="false"/>
          <w:i w:val="false"/>
          <w:iCs w:val="false"/>
          <w:color w:val="000000"/>
          <w:sz w:val="21"/>
          <w:szCs w:val="21"/>
        </w:rPr>
        <w:t xml:space="preserve">– d) Ein Kollege schlägt vor, die Gewichtung nachträglich zu ändern, weil ihm das Ergebnis nicht gefällt. Nehmen Sie dazu Stellung. (3 P)</w:t>
      </w:r>
    </w:p>
    <w:p>
      <w:pPr>
        <w:pStyle w:val="Heading1"/>
        <w:spacing w:after="130" w:before="300"/>
      </w:pPr>
      <w:r>
        <w:rPr>
          <w:rFonts w:ascii="Calibri" w:cs="Calibri" w:eastAsia="Calibri" w:hAnsi="Calibri"/>
          <w:b/>
          <w:bCs/>
          <w:i w:val="false"/>
          <w:iCs w:val="false"/>
          <w:color w:val="003366"/>
          <w:sz w:val="28"/>
          <w:szCs w:val="28"/>
        </w:rPr>
        <w:t xml:space="preserve">Aufgabe 3  Der Termin  (10 Punkte)</w:t>
      </w:r>
    </w:p>
    <w:p>
      <w:pPr>
        <w:spacing w:after="100" w:before="0"/>
      </w:pPr>
      <w:r>
        <w:rPr>
          <w:rFonts w:ascii="Calibri" w:cs="Calibri" w:eastAsia="Calibri" w:hAnsi="Calibri"/>
          <w:b w:val="false"/>
          <w:bCs w:val="false"/>
          <w:i w:val="false"/>
          <w:iCs w:val="false"/>
          <w:color w:val="000000"/>
          <w:sz w:val="21"/>
          <w:szCs w:val="21"/>
        </w:rPr>
        <w:t xml:space="preserve">Die Bestellung kann frühestens am 2. Mai ausgelöst werden. Der Umzug der Kanzlei ist am 4. Mai abgeschlossen, die Übergabe der Arbeitsplätze ist für den 11. Mai zugesagt. Für Aufbau, Einrichtung und Prüfung werden mindestens drei Arbeitstage benötigt.</w:t>
      </w:r>
    </w:p>
    <w:p>
      <w:pPr>
        <w:spacing w:after="40"/>
        <w:ind w:left="280" w:hanging="200"/>
      </w:pPr>
      <w:r>
        <w:rPr>
          <w:rFonts w:ascii="Calibri" w:cs="Calibri" w:eastAsia="Calibri" w:hAnsi="Calibri"/>
          <w:b w:val="false"/>
          <w:bCs w:val="false"/>
          <w:i w:val="false"/>
          <w:iCs w:val="false"/>
          <w:color w:val="000000"/>
          <w:sz w:val="21"/>
          <w:szCs w:val="21"/>
        </w:rPr>
        <w:t xml:space="preserve">– a) Prüfen Sie für jedes Angebot, ob der Termin eingehalten werden kann. Rechnen Sie mit Arbeitstagen von Montag bis Freitag; der 2. Mai ist ein Freitag. (5 P)</w:t>
      </w:r>
    </w:p>
    <w:p>
      <w:pPr>
        <w:spacing w:after="40"/>
        <w:ind w:left="280" w:hanging="200"/>
      </w:pPr>
      <w:r>
        <w:rPr>
          <w:rFonts w:ascii="Calibri" w:cs="Calibri" w:eastAsia="Calibri" w:hAnsi="Calibri"/>
          <w:b w:val="false"/>
          <w:bCs w:val="false"/>
          <w:i w:val="false"/>
          <w:iCs w:val="false"/>
          <w:color w:val="000000"/>
          <w:sz w:val="21"/>
          <w:szCs w:val="21"/>
        </w:rPr>
        <w:t xml:space="preserve">– b) Welche Folge hat das Ergebnis für die Nutzwertanalyse aus Aufgabe 2? (3 P)</w:t>
      </w:r>
    </w:p>
    <w:p>
      <w:pPr>
        <w:spacing w:after="40"/>
        <w:ind w:left="280" w:hanging="200"/>
      </w:pPr>
      <w:r>
        <w:rPr>
          <w:rFonts w:ascii="Calibri" w:cs="Calibri" w:eastAsia="Calibri" w:hAnsi="Calibri"/>
          <w:b w:val="false"/>
          <w:bCs w:val="false"/>
          <w:i w:val="false"/>
          <w:iCs w:val="false"/>
          <w:color w:val="000000"/>
          <w:sz w:val="21"/>
          <w:szCs w:val="21"/>
        </w:rPr>
        <w:t xml:space="preserve">– c) Formulieren Sie den Unterschied zwischen einem Bewertungskriterium und einem Ausschlusskriterium in einem Satz. (2 P)</w:t>
      </w:r>
    </w:p>
    <w:p>
      <w:pPr>
        <w:pStyle w:val="Heading1"/>
        <w:spacing w:after="130" w:before="300"/>
      </w:pPr>
      <w:r>
        <w:rPr>
          <w:rFonts w:ascii="Calibri" w:cs="Calibri" w:eastAsia="Calibri" w:hAnsi="Calibri"/>
          <w:b/>
          <w:bCs/>
          <w:i w:val="false"/>
          <w:iCs w:val="false"/>
          <w:color w:val="003366"/>
          <w:sz w:val="28"/>
          <w:szCs w:val="28"/>
        </w:rPr>
        <w:t xml:space="preserve">Aufgabe 4  Entscheidung und Begründung  (6 Punkte)</w:t>
      </w:r>
    </w:p>
    <w:p>
      <w:pPr>
        <w:spacing w:after="100" w:before="0"/>
      </w:pPr>
      <w:r>
        <w:rPr>
          <w:rFonts w:ascii="Calibri" w:cs="Calibri" w:eastAsia="Calibri" w:hAnsi="Calibri"/>
          <w:b w:val="false"/>
          <w:bCs w:val="false"/>
          <w:i w:val="false"/>
          <w:iCs w:val="false"/>
          <w:color w:val="000000"/>
          <w:sz w:val="21"/>
          <w:szCs w:val="21"/>
        </w:rPr>
        <w:t xml:space="preserve">Formulieren Sie eine Entscheidungsvorlage für Frau Ehlers, in höchstens sechs Sätzen. Nennen Sie das gewählte Angebot, den Bezugspreis, den Mehrpreis gegenüber dem rechnerisch günstigsten Angebot und die tragende Begründung.</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06 Angebote vergleichen und bewerten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Angebote vergleichen und Lieferanten auswählen</dc:title>
  <dc:creator>bfw</dc:creator>
  <cp:lastModifiedBy>Un-named</cp:lastModifiedBy>
  <cp:revision>1</cp:revision>
  <dcterms:created xsi:type="dcterms:W3CDTF">2026-08-11T05:09:41.921Z</dcterms:created>
  <dcterms:modified xsi:type="dcterms:W3CDTF">2026-08-11T05:09:41.922Z</dcterms:modified>
</cp:coreProperties>
</file>

<file path=docProps/custom.xml><?xml version="1.0" encoding="utf-8"?>
<Properties xmlns="http://schemas.openxmlformats.org/officeDocument/2006/custom-properties" xmlns:vt="http://schemas.openxmlformats.org/officeDocument/2006/docPropsVTypes"/>
</file>