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Ergonomie, Barrierefreiheit und Nachhaltigkeit</w:t>
      </w:r>
    </w:p>
    <w:p>
      <w:pPr>
        <w:spacing w:after="220"/>
      </w:pPr>
      <w:r>
        <w:rPr>
          <w:rFonts w:ascii="Calibri" w:cs="Calibri" w:eastAsia="Calibri" w:hAnsi="Calibri"/>
          <w:b w:val="false"/>
          <w:bCs w:val="false"/>
          <w:i w:val="false"/>
          <w:iCs w:val="false"/>
          <w:color w:val="0066AA"/>
          <w:sz w:val="22"/>
          <w:szCs w:val="22"/>
        </w:rPr>
        <w:t xml:space="preserve">Handout  ·  Der Arbeitsplatz als Ganzes, nicht als Summe von Geräten</w:t>
      </w:r>
    </w:p>
    <w:p>
      <w:pPr>
        <w:pStyle w:val="Heading1"/>
        <w:spacing w:after="130" w:before="300"/>
      </w:pPr>
      <w:r>
        <w:rPr>
          <w:rFonts w:ascii="Calibri" w:cs="Calibri" w:eastAsia="Calibri" w:hAnsi="Calibri"/>
          <w:b/>
          <w:bCs/>
          <w:i w:val="false"/>
          <w:iCs w:val="false"/>
          <w:color w:val="003366"/>
          <w:sz w:val="28"/>
          <w:szCs w:val="28"/>
        </w:rPr>
        <w:t xml:space="preserve">1  Warum das zum Auftrag gehört</w:t>
      </w:r>
    </w:p>
    <w:p>
      <w:pPr>
        <w:spacing w:after="100" w:before="0"/>
      </w:pPr>
      <w:r>
        <w:rPr>
          <w:rFonts w:ascii="Calibri" w:cs="Calibri" w:eastAsia="Calibri" w:hAnsi="Calibri"/>
          <w:b w:val="false"/>
          <w:bCs w:val="false"/>
          <w:i w:val="false"/>
          <w:iCs w:val="false"/>
          <w:color w:val="000000"/>
          <w:sz w:val="21"/>
          <w:szCs w:val="21"/>
        </w:rPr>
        <w:t xml:space="preserve">Ein Arbeitsplatz, der technisch alle Anforderungen erfüllt, aber Rückenschmerzen verursacht, ist mangelhaft ausgestattet. Ergonomie und Barrierefreiheit sind keine freundliche Zugabe, sondern Teil der Leistung — und in Teilen gesetzlich vorgeschrieben.</w:t>
      </w:r>
    </w:p>
    <w:p>
      <w:pPr>
        <w:pStyle w:val="Heading1"/>
        <w:spacing w:after="130" w:before="300"/>
      </w:pPr>
      <w:r>
        <w:rPr>
          <w:rFonts w:ascii="Calibri" w:cs="Calibri" w:eastAsia="Calibri" w:hAnsi="Calibri"/>
          <w:b/>
          <w:bCs/>
          <w:i w:val="false"/>
          <w:iCs w:val="false"/>
          <w:color w:val="003366"/>
          <w:sz w:val="28"/>
          <w:szCs w:val="28"/>
        </w:rPr>
        <w:t xml:space="preserve">2  Ergonomie am Bildschirmarbeitsplatz</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Bildschirm</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Oberkante etwa auf oder leicht unter Augenhöhe, Sehabstand rund 50 bis 80 cm je nach Größe. Aufstellung im rechten Winkel zum Fenster, damit weder Blendung noch Spiegelung entsteht. Höhenverstellbarkeit ist deshalb keine Ausstattungsfrage, sondern Voraussetzung.</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Tisch</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Ausreichend tief für Bildschirm und Unterlagen, Beinfreiheit ohne Hindernisse. Höhenverstellbare Tische ermöglichen den Wechsel zwischen Sitzen und Stehen.</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Stuhl</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Verstellbar in Höhe und Rückenlehne, stabil, mit Rollen passend zum Bodenbelag.</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Eingabegeräte</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Tastatur getrennt vom Bildschirm, ausreichend Auflagefläche vor der Tastatur. Bei Notebooks bedeutet das: externe Tastatur und Maus, sobald länger gearbeitet wird.</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Beleuchtung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Ausreichende und blendfreie Beleuchtung, Tageslicht regelbar durch Jalousien.</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Geräusch</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Im Großraumbüro entscheidend. Lüfterlose oder leise Geräte, Drucker außerhalb des Arbeitsbereichs.</w:t>
            </w:r>
          </w:p>
        </w:tc>
      </w:tr>
    </w:tbl>
    <w:p>
      <w:pPr>
        <w:spacing w:after="0" w:before="0"/>
      </w:pPr>
      <w:r>
        <w:rPr>
          <w:rFonts w:ascii="Calibri" w:cs="Calibri" w:eastAsia="Calibri" w:hAnsi="Calibri"/>
          <w:b w:val="false"/>
          <w:bCs w:val="false"/>
          <w:i w:val="false"/>
          <w:iCs w:val="false"/>
          <w:color w:val="000000"/>
          <w:sz w:val="21"/>
          <w:szCs w:val="21"/>
        </w:rPr>
        <w:t xml:space="preserve"/>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Rechtlicher Rahmen: Arbeitsstättenverordnung mit dem Anhang zu Bildschirmarbeitsplätzen, ergänzt durch die Normenreihe DIN EN ISO 9241. Für die Beschaffung heißt das: Höhenverstellung, Neigung und getrennte Eingabegeräte gehören ins Lastenheft.</w:t>
      </w:r>
    </w:p>
    <w:p>
      <w:pPr>
        <w:pStyle w:val="Heading1"/>
        <w:spacing w:after="130" w:before="300"/>
      </w:pPr>
      <w:r>
        <w:rPr>
          <w:rFonts w:ascii="Calibri" w:cs="Calibri" w:eastAsia="Calibri" w:hAnsi="Calibri"/>
          <w:b/>
          <w:bCs/>
          <w:i w:val="false"/>
          <w:iCs w:val="false"/>
          <w:color w:val="003366"/>
          <w:sz w:val="28"/>
          <w:szCs w:val="28"/>
        </w:rPr>
        <w:t xml:space="preserve">3  Barrierefreiheit</w:t>
      </w:r>
    </w:p>
    <w:p>
      <w:pPr>
        <w:spacing w:after="100" w:before="0"/>
      </w:pPr>
      <w:r>
        <w:rPr>
          <w:rFonts w:ascii="Calibri" w:cs="Calibri" w:eastAsia="Calibri" w:hAnsi="Calibri"/>
          <w:b w:val="false"/>
          <w:bCs w:val="false"/>
          <w:i w:val="false"/>
          <w:iCs w:val="false"/>
          <w:color w:val="000000"/>
          <w:sz w:val="21"/>
          <w:szCs w:val="21"/>
        </w:rPr>
        <w:t xml:space="preserve">Barrierefreiheit bedeutet, dass ein Arbeitsplatz ohne fremde Hilfe genutzt werden kann. Die passende Maßnahme hängt von der konkreten Einschränkung ab — pauschale Lösungen gibt es nicht.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3600"/>
        <w:gridCol w:w="3438"/>
      </w:tblGrid>
      <w:tr>
        <w:trPr>
          <w:tblHeader/>
        </w:trPr>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Einschränkung</w:t>
            </w:r>
          </w:p>
        </w:tc>
        <w:tc>
          <w:tcPr>
            <w:tcW w:type="dxa" w:w="3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Maßnahmen in der Hardware</w:t>
            </w:r>
          </w:p>
        </w:tc>
        <w:tc>
          <w:tcPr>
            <w:tcW w:type="dxa" w:w="34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Maßnahmen in der Software</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Sehbehinderung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Größerer Bildschirm mit hoher Auflösung, höhenverstellbare Halterung, kontrastreiche Tastatur mit großer Beschriftung, Braillezeile</w:t>
            </w:r>
          </w:p>
        </w:tc>
        <w:tc>
          <w:tcPr>
            <w:tcW w:type="dxa" w:w="3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Vergrößerungssoftware, Kontrastanpassung, Schriftgrößen, Vorlesefunktion</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Blindheit</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Braillezeile, Kopfhörer</w:t>
            </w:r>
          </w:p>
        </w:tc>
        <w:tc>
          <w:tcPr>
            <w:tcW w:type="dxa" w:w="3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Bildschirmlesesoftware, Tastatursteuerung ohne Maus</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Hörbeeinträchtigung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Signalgeber optisch statt akustisch</w:t>
            </w:r>
          </w:p>
        </w:tc>
        <w:tc>
          <w:tcPr>
            <w:tcW w:type="dxa" w:w="3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Visuelle Benachrichtigungen, Untertitel in Videokonferenzen</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Motorische Einschränkung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Ergonomische oder alternative Eingabegeräte, Trackball, Fußschalter</w:t>
            </w:r>
          </w:p>
        </w:tc>
        <w:tc>
          <w:tcPr>
            <w:tcW w:type="dxa" w:w="3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Tastaturkürzel, Verzögerung von Tastenwiederholungen, Spracheingabe</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Kognitive Einschränkung</w:t>
            </w:r>
          </w:p>
        </w:tc>
        <w:tc>
          <w:tcPr>
            <w:tcW w:type="dxa" w:w="3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Reizarmer Arbeitsplatz</w:t>
            </w:r>
          </w:p>
        </w:tc>
        <w:tc>
          <w:tcPr>
            <w:tcW w:type="dxa" w:w="3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Reduzierte Oberflächen, klare Beschriftungen, weniger gleichzeitige Fenster</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100" w:before="0"/>
      </w:pPr>
      <w:r>
        <w:rPr>
          <w:rFonts w:ascii="Calibri" w:cs="Calibri" w:eastAsia="Calibri" w:hAnsi="Calibri"/>
          <w:b w:val="false"/>
          <w:bCs w:val="false"/>
          <w:i w:val="false"/>
          <w:iCs w:val="false"/>
          <w:color w:val="000000"/>
          <w:sz w:val="21"/>
          <w:szCs w:val="21"/>
        </w:rPr>
        <w:t xml:space="preserve">Alle verbreiteten Betriebssysteme bringen Bedienungshilfen mit: Vergrößerung, Kontrastmodus, Vorlesefunktion, Tastatursteuerung. Prüfen Sie diese zuerst, bevor Sie Zusatzsoftware beschaffen — sie kosten nichts und sind sofort verfügbar.</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Für den Auftrag Steinbach &amp; Partner: Frau Adam hat eine starke Sehbehinderung. Bevor Sie ein Gerät auswählen, müssen Sie wissen, welche Art von Einschränkung vorliegt. Eine Sehschwäche verlangt etwas anderes als ein eingeschränktes Gesichtsfeld. Fragen Sie nach, statt ein großes Display zu bestellen und zu hoffen.</w:t>
      </w:r>
    </w:p>
    <w:p>
      <w:pPr>
        <w:pStyle w:val="Heading1"/>
        <w:spacing w:after="130" w:before="300"/>
      </w:pPr>
      <w:r>
        <w:rPr>
          <w:rFonts w:ascii="Calibri" w:cs="Calibri" w:eastAsia="Calibri" w:hAnsi="Calibri"/>
          <w:b/>
          <w:bCs/>
          <w:i w:val="false"/>
          <w:iCs w:val="false"/>
          <w:color w:val="003366"/>
          <w:sz w:val="28"/>
          <w:szCs w:val="28"/>
        </w:rPr>
        <w:t xml:space="preserve">4  Nachhaltigkeit über den gesamten Lebenszyklus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Beschaffung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Geräte mit belastbaren Umweltzeichen bevorzugen, Verpackungsaufwand berücksichtigen, Transportwege beachten.</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Nutzung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Energieverbrauch im Betrieb und im Bereitschaftsbetrieb, Energiesparprofile, Abschaltung außerhalb der Arbeitszeit.</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Verlängerung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Reparierbarkeit, Verfügbarkeit von Ersatzteilen, Aufrüstbarkeit von Speicher und Datenträger. Ein Gerät, das ein Jahr länger läuft, spart mehr als jede Effizienzklasse.</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Weitergabe</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Verkauf oder Spende funktionsfähiger Altgeräte nach nachweislicher Datenlöschung.</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Entsorgung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Rückgabe über Hersteller, Handel oder kommunale Sammelstelle. Elektroaltgeräte gehören nicht in den Restmüll; das Elektro- und Elektronikgerätegesetz regelt Rücknahme und Nachweise.</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Altgeräte mit sensiblen Daten</w:t>
      </w:r>
    </w:p>
    <w:p>
      <w:pPr>
        <w:spacing w:after="40"/>
        <w:ind w:left="280" w:hanging="200"/>
      </w:pPr>
      <w:r>
        <w:rPr>
          <w:rFonts w:ascii="Calibri" w:cs="Calibri" w:eastAsia="Calibri" w:hAnsi="Calibri"/>
          <w:b w:val="false"/>
          <w:bCs w:val="false"/>
          <w:i w:val="false"/>
          <w:iCs w:val="false"/>
          <w:color w:val="000000"/>
          <w:sz w:val="21"/>
          <w:szCs w:val="21"/>
        </w:rPr>
        <w:t xml:space="preserve">– Löschen der Datenträger nach einem anerkannten Verfahren, bei Bedarf physische Zerstörung.</w:t>
      </w:r>
    </w:p>
    <w:p>
      <w:pPr>
        <w:spacing w:after="40"/>
        <w:ind w:left="280" w:hanging="200"/>
      </w:pPr>
      <w:r>
        <w:rPr>
          <w:rFonts w:ascii="Calibri" w:cs="Calibri" w:eastAsia="Calibri" w:hAnsi="Calibri"/>
          <w:b w:val="false"/>
          <w:bCs w:val="false"/>
          <w:i w:val="false"/>
          <w:iCs w:val="false"/>
          <w:color w:val="000000"/>
          <w:sz w:val="21"/>
          <w:szCs w:val="21"/>
        </w:rPr>
        <w:t xml:space="preserve">– Löschprotokoll mit Gerätekennung, Verfahren, Datum und ausführender Person.</w:t>
      </w:r>
    </w:p>
    <w:p>
      <w:pPr>
        <w:spacing w:after="40"/>
        <w:ind w:left="280" w:hanging="200"/>
      </w:pPr>
      <w:r>
        <w:rPr>
          <w:rFonts w:ascii="Calibri" w:cs="Calibri" w:eastAsia="Calibri" w:hAnsi="Calibri"/>
          <w:b w:val="false"/>
          <w:bCs w:val="false"/>
          <w:i w:val="false"/>
          <w:iCs w:val="false"/>
          <w:color w:val="000000"/>
          <w:sz w:val="21"/>
          <w:szCs w:val="21"/>
        </w:rPr>
        <w:t xml:space="preserve">– Bei beauftragter Entsorgung: schriftliche Vereinbarung und Entsorgungsnachweis verlangen.</w:t>
      </w:r>
    </w:p>
    <w:p>
      <w:pPr>
        <w:spacing w:after="40"/>
        <w:ind w:left="280" w:hanging="200"/>
      </w:pPr>
      <w:r>
        <w:rPr>
          <w:rFonts w:ascii="Calibri" w:cs="Calibri" w:eastAsia="Calibri" w:hAnsi="Calibri"/>
          <w:b w:val="false"/>
          <w:bCs w:val="false"/>
          <w:i w:val="false"/>
          <w:iCs w:val="false"/>
          <w:color w:val="000000"/>
          <w:sz w:val="21"/>
          <w:szCs w:val="21"/>
        </w:rPr>
        <w:t xml:space="preserve">– Das Zurücksetzen auf Werkseinstellungen ist keine sichere Löschung.</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Bei Steinbach &amp; Partner liegen Mandantendaten auf den Altgeräten. Ohne Löschprotokoll und Entsorgungsnachweis ist der Auftrag nicht sauber abgeschlossen — unabhängig davon, ob der Kunde danach fragt.</w:t>
      </w:r>
    </w:p>
    <w:p>
      <w:pPr>
        <w:pStyle w:val="Heading1"/>
        <w:spacing w:after="130" w:before="300"/>
      </w:pPr>
      <w:r>
        <w:rPr>
          <w:rFonts w:ascii="Calibri" w:cs="Calibri" w:eastAsia="Calibri" w:hAnsi="Calibri"/>
          <w:b/>
          <w:bCs/>
          <w:i w:val="false"/>
          <w:iCs w:val="false"/>
          <w:color w:val="003366"/>
          <w:sz w:val="28"/>
          <w:szCs w:val="28"/>
        </w:rPr>
        <w:t xml:space="preserve">5  Kontrollfragen</w:t>
      </w:r>
    </w:p>
    <w:p>
      <w:pPr>
        <w:spacing w:after="40"/>
        <w:ind w:left="340" w:hanging="260"/>
      </w:pPr>
      <w:r>
        <w:rPr>
          <w:rFonts w:ascii="Calibri" w:cs="Calibri" w:eastAsia="Calibri" w:hAnsi="Calibri"/>
          <w:b w:val="false"/>
          <w:bCs w:val="false"/>
          <w:i w:val="false"/>
          <w:iCs w:val="false"/>
          <w:color w:val="000000"/>
          <w:sz w:val="21"/>
          <w:szCs w:val="21"/>
        </w:rPr>
        <w:t xml:space="preserve">1.  Warum ist ein Bildschirm ohne Höhenverstellung für einen Dauerarbeitsplatz problematisch?</w:t>
      </w:r>
    </w:p>
    <w:p>
      <w:pPr>
        <w:spacing w:after="40"/>
        <w:ind w:left="340" w:hanging="260"/>
      </w:pPr>
      <w:r>
        <w:rPr>
          <w:rFonts w:ascii="Calibri" w:cs="Calibri" w:eastAsia="Calibri" w:hAnsi="Calibri"/>
          <w:b w:val="false"/>
          <w:bCs w:val="false"/>
          <w:i w:val="false"/>
          <w:iCs w:val="false"/>
          <w:color w:val="000000"/>
          <w:sz w:val="21"/>
          <w:szCs w:val="21"/>
        </w:rPr>
        <w:t xml:space="preserve">2.  Ein Mitarbeiter arbeitet acht Stunden täglich am Notebook. Was muss ergänzt werden und warum?</w:t>
      </w:r>
    </w:p>
    <w:p>
      <w:pPr>
        <w:spacing w:after="40"/>
        <w:ind w:left="340" w:hanging="260"/>
      </w:pPr>
      <w:r>
        <w:rPr>
          <w:rFonts w:ascii="Calibri" w:cs="Calibri" w:eastAsia="Calibri" w:hAnsi="Calibri"/>
          <w:b w:val="false"/>
          <w:bCs w:val="false"/>
          <w:i w:val="false"/>
          <w:iCs w:val="false"/>
          <w:color w:val="000000"/>
          <w:sz w:val="21"/>
          <w:szCs w:val="21"/>
        </w:rPr>
        <w:t xml:space="preserve">3.  Nennen Sie drei Bedienungshilfen, die in jedem gängigen Betriebssystem enthalten sind.</w:t>
      </w:r>
    </w:p>
    <w:p>
      <w:pPr>
        <w:spacing w:after="40"/>
        <w:ind w:left="340" w:hanging="260"/>
      </w:pPr>
      <w:r>
        <w:rPr>
          <w:rFonts w:ascii="Calibri" w:cs="Calibri" w:eastAsia="Calibri" w:hAnsi="Calibri"/>
          <w:b w:val="false"/>
          <w:bCs w:val="false"/>
          <w:i w:val="false"/>
          <w:iCs w:val="false"/>
          <w:color w:val="000000"/>
          <w:sz w:val="21"/>
          <w:szCs w:val="21"/>
        </w:rPr>
        <w:t xml:space="preserve">4.  Welche Maßnahme verlängert die Nutzungsdauer eines Rechners am wirksamsten?</w:t>
      </w:r>
    </w:p>
    <w:p>
      <w:pPr>
        <w:spacing w:after="40"/>
        <w:ind w:left="340" w:hanging="260"/>
      </w:pPr>
      <w:r>
        <w:rPr>
          <w:rFonts w:ascii="Calibri" w:cs="Calibri" w:eastAsia="Calibri" w:hAnsi="Calibri"/>
          <w:b w:val="false"/>
          <w:bCs w:val="false"/>
          <w:i w:val="false"/>
          <w:iCs w:val="false"/>
          <w:color w:val="000000"/>
          <w:sz w:val="21"/>
          <w:szCs w:val="21"/>
        </w:rPr>
        <w:t xml:space="preserve">5.  Welche Nachweise brauchen Sie, wenn Altgeräte mit personenbezogenen Daten entsorgt werden?</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04 Ergonomie, Barrierefreiheit, Nachhaltigkeit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Ergonomie, Barrierefreiheit und Nachhaltigkeit</dc:title>
  <dc:creator>bfw</dc:creator>
  <cp:lastModifiedBy>Un-named</cp:lastModifiedBy>
  <cp:revision>1</cp:revision>
  <dcterms:created xsi:type="dcterms:W3CDTF">2026-08-10T17:14:45.067Z</dcterms:created>
  <dcterms:modified xsi:type="dcterms:W3CDTF">2026-08-10T17:14:45.084Z</dcterms:modified>
</cp:coreProperties>
</file>

<file path=docProps/custom.xml><?xml version="1.0" encoding="utf-8"?>
<Properties xmlns="http://schemas.openxmlformats.org/officeDocument/2006/custom-properties" xmlns:vt="http://schemas.openxmlformats.org/officeDocument/2006/docPropsVTypes"/>
</file>