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2E7D32"/>
          <w:sz w:val="34"/>
          <w:szCs w:val="34"/>
        </w:rPr>
        <w:t xml:space="preserve">Lizenzen und Urheberrecht — Erwartungshorizont</w:t>
      </w:r>
    </w:p>
    <w:p>
      <w:pPr>
        <w:spacing w:after="220"/>
      </w:pPr>
      <w:r>
        <w:rPr>
          <w:rFonts w:ascii="Calibri" w:cs="Calibri" w:eastAsia="Calibri" w:hAnsi="Calibri"/>
          <w:b w:val="false"/>
          <w:bCs w:val="false"/>
          <w:i w:val="false"/>
          <w:iCs w:val="false"/>
          <w:color w:val="0066AA"/>
          <w:sz w:val="22"/>
          <w:szCs w:val="22"/>
        </w:rPr>
        <w:t xml:space="preserve">Musterlösung  ·  45 Punkte  ·  nicht zur Ausgabe an die Teilnehmenden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Diese Fälle sind bewusst so gebaut, dass niemand aus böser Absicht handelt. Alle sechs Situationen entstehen aus Unkenntnis. Das ist die Botschaft: Lizenzverstöße passieren meist nebenbei, und die Beratungsleistung besteht darin, sie zu verhindern, bevor sie entstehen.</w:t>
      </w:r>
    </w:p>
    <w:p>
      <w:pPr>
        <w:pStyle w:val="Heading1"/>
        <w:spacing w:after="130" w:before="300"/>
      </w:pPr>
      <w:r>
        <w:rPr>
          <w:rFonts w:ascii="Calibri" w:cs="Calibri" w:eastAsia="Calibri" w:hAnsi="Calibri"/>
          <w:b/>
          <w:bCs/>
          <w:i w:val="false"/>
          <w:iCs w:val="false"/>
          <w:color w:val="003366"/>
          <w:sz w:val="28"/>
          <w:szCs w:val="28"/>
        </w:rPr>
        <w:t xml:space="preserve">Fall 1  (8 Punkte)</w:t>
      </w:r>
    </w:p>
    <w:p>
      <w:pPr>
        <w:pStyle w:val="Heading3"/>
        <w:spacing w:after="80" w:before="180"/>
      </w:pPr>
      <w:r>
        <w:rPr>
          <w:rFonts w:ascii="Calibri" w:cs="Calibri" w:eastAsia="Calibri" w:hAnsi="Calibri"/>
          <w:b/>
          <w:bCs/>
          <w:i w:val="false"/>
          <w:iCs w:val="false"/>
          <w:color w:val="000000"/>
          <w:sz w:val="22"/>
          <w:szCs w:val="22"/>
        </w:rPr>
        <w:t xml:space="preserve">a) (3 P)</w:t>
      </w:r>
    </w:p>
    <w:p>
      <w:pPr>
        <w:spacing w:after="100" w:before="0"/>
      </w:pPr>
      <w:r>
        <w:rPr>
          <w:rFonts w:ascii="Calibri" w:cs="Calibri" w:eastAsia="Calibri" w:hAnsi="Calibri"/>
          <w:b w:val="false"/>
          <w:bCs w:val="false"/>
          <w:i w:val="false"/>
          <w:iCs w:val="false"/>
          <w:color w:val="000000"/>
          <w:sz w:val="21"/>
          <w:szCs w:val="21"/>
        </w:rPr>
        <w:t xml:space="preserve">Nicht ohne Weiteres zulässig. Eine Einzelplatzlizenz berechtigt zur Nutzung auf einem Gerät beziehungsweise durch eine benannte Person, je nach Vertragstext. Die Begründung, es werde nie gleichzeitig gearbeitet, ist kein Argument — maßgeblich ist die Anzahl der Installationen, nicht die tatsächliche Nutzung, sofern der Vertrag nichts anderes vorsieht.</w:t>
      </w:r>
    </w:p>
    <w:p>
      <w:pPr>
        <w:pStyle w:val="Heading3"/>
        <w:spacing w:after="80" w:before="180"/>
      </w:pPr>
      <w:r>
        <w:rPr>
          <w:rFonts w:ascii="Calibri" w:cs="Calibri" w:eastAsia="Calibri" w:hAnsi="Calibri"/>
          <w:b/>
          <w:bCs/>
          <w:i w:val="false"/>
          <w:iCs w:val="false"/>
          <w:color w:val="000000"/>
          <w:sz w:val="22"/>
          <w:szCs w:val="22"/>
        </w:rPr>
        <w:t xml:space="preserve">b) (2 P)</w:t>
      </w:r>
    </w:p>
    <w:p>
      <w:pPr>
        <w:spacing w:after="100" w:before="0"/>
      </w:pPr>
      <w:r>
        <w:rPr>
          <w:rFonts w:ascii="Calibri" w:cs="Calibri" w:eastAsia="Calibri" w:hAnsi="Calibri"/>
          <w:b w:val="false"/>
          <w:bCs w:val="false"/>
          <w:i w:val="false"/>
          <w:iCs w:val="false"/>
          <w:color w:val="000000"/>
          <w:sz w:val="21"/>
          <w:szCs w:val="21"/>
        </w:rPr>
        <w:t xml:space="preserve">Maßgeblich ist ausschließlich der Lizenzvertrag beziehungsweise die Nutzungsbedingungen. Dort steht, wie viele Installationen zulässig sind, ob eine Zweitinstallation für dieselbe Person erlaubt ist und ob die Lizenz gerätegebunden oder personengebunden ist.</w:t>
      </w:r>
    </w:p>
    <w:p>
      <w:pPr>
        <w:pStyle w:val="Heading3"/>
        <w:spacing w:after="80" w:before="180"/>
      </w:pPr>
      <w:r>
        <w:rPr>
          <w:rFonts w:ascii="Calibri" w:cs="Calibri" w:eastAsia="Calibri" w:hAnsi="Calibri"/>
          <w:b/>
          <w:bCs/>
          <w:i w:val="false"/>
          <w:iCs w:val="false"/>
          <w:color w:val="000000"/>
          <w:sz w:val="22"/>
          <w:szCs w:val="22"/>
        </w:rPr>
        <w:t xml:space="preserve">c) (3 P)</w:t>
      </w:r>
    </w:p>
    <w:p>
      <w:pPr>
        <w:spacing w:after="100" w:before="0"/>
      </w:pPr>
      <w:r>
        <w:rPr>
          <w:rFonts w:ascii="Calibri" w:cs="Calibri" w:eastAsia="Calibri" w:hAnsi="Calibri"/>
          <w:b w:val="false"/>
          <w:bCs w:val="false"/>
          <w:i w:val="false"/>
          <w:iCs w:val="false"/>
          <w:color w:val="000000"/>
          <w:sz w:val="21"/>
          <w:szCs w:val="21"/>
        </w:rPr>
        <w:t xml:space="preserve">Vertragstext prüfen. Sieht er eine Zweitinstallation für dieselbe Person vor, ist alles in Ordnung und wird dokumentiert. Andernfalls: Zweitlizenz beschaffen oder auf ein Modell umstellen, das mobile Nutzung abdeckt, etwa eine personenbezogene Subskription.</w:t>
      </w:r>
    </w:p>
    <w:p>
      <w:pPr>
        <w:pStyle w:val="Heading1"/>
        <w:spacing w:after="130" w:before="300"/>
      </w:pPr>
      <w:r>
        <w:rPr>
          <w:rFonts w:ascii="Calibri" w:cs="Calibri" w:eastAsia="Calibri" w:hAnsi="Calibri"/>
          <w:b/>
          <w:bCs/>
          <w:i w:val="false"/>
          <w:iCs w:val="false"/>
          <w:color w:val="003366"/>
          <w:sz w:val="28"/>
          <w:szCs w:val="28"/>
        </w:rPr>
        <w:t xml:space="preserve">Fall 2  (6 Punkte)</w:t>
      </w:r>
    </w:p>
    <w:p>
      <w:pPr>
        <w:pStyle w:val="Heading3"/>
        <w:spacing w:after="80" w:before="180"/>
      </w:pPr>
      <w:r>
        <w:rPr>
          <w:rFonts w:ascii="Calibri" w:cs="Calibri" w:eastAsia="Calibri" w:hAnsi="Calibri"/>
          <w:b/>
          <w:bCs/>
          <w:i w:val="false"/>
          <w:iCs w:val="false"/>
          <w:color w:val="000000"/>
          <w:sz w:val="22"/>
          <w:szCs w:val="22"/>
        </w:rPr>
        <w:t xml:space="preserve">a) (4 P)</w:t>
      </w:r>
    </w:p>
    <w:p>
      <w:pPr>
        <w:spacing w:after="100" w:before="0"/>
      </w:pPr>
      <w:r>
        <w:rPr>
          <w:rFonts w:ascii="Calibri" w:cs="Calibri" w:eastAsia="Calibri" w:hAnsi="Calibri"/>
          <w:b w:val="false"/>
          <w:bCs w:val="false"/>
          <w:i w:val="false"/>
          <w:iCs w:val="false"/>
          <w:color w:val="000000"/>
          <w:sz w:val="21"/>
          <w:szCs w:val="21"/>
        </w:rPr>
        <w:t xml:space="preserve">In der Regel nicht zulässig. Eine OEM-Lizenz wird zusammen mit einem Gerät ausgeliefert und ist daran gebunden. Mit dem Ausscheiden des Geräts endet regelmäßig auch das Nutzungsrecht; eine Übertragung auf ein neues Gerät ist nicht vorgesehen.</w:t>
      </w:r>
    </w:p>
    <w:p>
      <w:pPr>
        <w:pStyle w:val="Heading3"/>
        <w:spacing w:after="80" w:before="180"/>
      </w:pPr>
      <w:r>
        <w:rPr>
          <w:rFonts w:ascii="Calibri" w:cs="Calibri" w:eastAsia="Calibri" w:hAnsi="Calibri"/>
          <w:b/>
          <w:bCs/>
          <w:i w:val="false"/>
          <w:iCs w:val="false"/>
          <w:color w:val="000000"/>
          <w:sz w:val="22"/>
          <w:szCs w:val="22"/>
        </w:rPr>
        <w:t xml:space="preserve">b) (2 P)</w:t>
      </w:r>
    </w:p>
    <w:p>
      <w:pPr>
        <w:spacing w:after="100" w:before="0"/>
      </w:pPr>
      <w:r>
        <w:rPr>
          <w:rFonts w:ascii="Calibri" w:cs="Calibri" w:eastAsia="Calibri" w:hAnsi="Calibri"/>
          <w:b w:val="false"/>
          <w:bCs w:val="false"/>
          <w:i w:val="false"/>
          <w:iCs w:val="false"/>
          <w:color w:val="000000"/>
          <w:sz w:val="21"/>
          <w:szCs w:val="21"/>
        </w:rPr>
        <w:t xml:space="preserve">Bei einem Gerätetausch ist die Lizenz für das Betriebssystem als eigener Kostenpunkt einzuplanen. Wer beim Angebot nur die Hardware kalkuliert, hat später eine nicht kalkulierte Position — genau der Fehler, der in der Nachkalkulation als Abweichung sichtbar wird.</w:t>
      </w:r>
    </w:p>
    <w:p>
      <w:pPr>
        <w:pStyle w:val="Heading1"/>
        <w:spacing w:after="130" w:before="300"/>
      </w:pPr>
      <w:r>
        <w:rPr>
          <w:rFonts w:ascii="Calibri" w:cs="Calibri" w:eastAsia="Calibri" w:hAnsi="Calibri"/>
          <w:b/>
          <w:bCs/>
          <w:i w:val="false"/>
          <w:iCs w:val="false"/>
          <w:color w:val="003366"/>
          <w:sz w:val="28"/>
          <w:szCs w:val="28"/>
        </w:rPr>
        <w:t xml:space="preserve">Fall 3  (8 Punkte)</w:t>
      </w:r>
    </w:p>
    <w:p>
      <w:pPr>
        <w:pStyle w:val="Heading3"/>
        <w:spacing w:after="80" w:before="180"/>
      </w:pPr>
      <w:r>
        <w:rPr>
          <w:rFonts w:ascii="Calibri" w:cs="Calibri" w:eastAsia="Calibri" w:hAnsi="Calibri"/>
          <w:b/>
          <w:bCs/>
          <w:i w:val="false"/>
          <w:iCs w:val="false"/>
          <w:color w:val="000000"/>
          <w:sz w:val="22"/>
          <w:szCs w:val="22"/>
        </w:rPr>
        <w:t xml:space="preserve">a) (3 P)</w:t>
      </w:r>
    </w:p>
    <w:p>
      <w:pPr>
        <w:spacing w:after="100" w:before="0"/>
      </w:pPr>
      <w:r>
        <w:rPr>
          <w:rFonts w:ascii="Calibri" w:cs="Calibri" w:eastAsia="Calibri" w:hAnsi="Calibri"/>
          <w:b w:val="false"/>
          <w:bCs w:val="false"/>
          <w:i w:val="false"/>
          <w:iCs w:val="false"/>
          <w:color w:val="000000"/>
          <w:sz w:val="21"/>
          <w:szCs w:val="21"/>
        </w:rPr>
        <w:t xml:space="preserve">Ohne Nachweis der Lizenzkette liegt das Risiko vollständig bei KONTURA und beim Kunden. Stellt sich später heraus, dass die Lizenzen nicht wirksam übertragen wurden, drohen Nachlizenzierung zum vollen Preis und Schadensersatzforderungen. Der Preisvorteil von fünfzig Prozent wiegt das nicht auf.</w:t>
      </w:r>
    </w:p>
    <w:p>
      <w:pPr>
        <w:pStyle w:val="Heading3"/>
        <w:spacing w:after="80" w:before="180"/>
      </w:pPr>
      <w:r>
        <w:rPr>
          <w:rFonts w:ascii="Calibri" w:cs="Calibri" w:eastAsia="Calibri" w:hAnsi="Calibri"/>
          <w:b/>
          <w:bCs/>
          <w:i w:val="false"/>
          <w:iCs w:val="false"/>
          <w:color w:val="000000"/>
          <w:sz w:val="22"/>
          <w:szCs w:val="22"/>
        </w:rPr>
        <w:t xml:space="preserve">b) (3 P)</w:t>
      </w:r>
    </w:p>
    <w:p>
      <w:pPr>
        <w:spacing w:after="40"/>
        <w:ind w:left="280" w:hanging="200"/>
      </w:pPr>
      <w:r>
        <w:rPr>
          <w:rFonts w:ascii="Calibri" w:cs="Calibri" w:eastAsia="Calibri" w:hAnsi="Calibri"/>
          <w:b w:val="false"/>
          <w:bCs w:val="false"/>
          <w:i w:val="false"/>
          <w:iCs w:val="false"/>
          <w:color w:val="000000"/>
          <w:sz w:val="21"/>
          <w:szCs w:val="21"/>
        </w:rPr>
        <w:t xml:space="preserve">– Nachweis, dass die Lizenzen ursprünglich rechtmäßig erworben wurden</w:t>
      </w:r>
    </w:p>
    <w:p>
      <w:pPr>
        <w:spacing w:after="40"/>
        <w:ind w:left="280" w:hanging="200"/>
      </w:pPr>
      <w:r>
        <w:rPr>
          <w:rFonts w:ascii="Calibri" w:cs="Calibri" w:eastAsia="Calibri" w:hAnsi="Calibri"/>
          <w:b w:val="false"/>
          <w:bCs w:val="false"/>
          <w:i w:val="false"/>
          <w:iCs w:val="false"/>
          <w:color w:val="000000"/>
          <w:sz w:val="21"/>
          <w:szCs w:val="21"/>
        </w:rPr>
        <w:t xml:space="preserve">– Nachweis, dass sie beim Voreigentümer vollständig und dauerhaft gelöscht wurden</w:t>
      </w:r>
    </w:p>
    <w:p>
      <w:pPr>
        <w:spacing w:after="40"/>
        <w:ind w:left="280" w:hanging="200"/>
      </w:pPr>
      <w:r>
        <w:rPr>
          <w:rFonts w:ascii="Calibri" w:cs="Calibri" w:eastAsia="Calibri" w:hAnsi="Calibri"/>
          <w:b w:val="false"/>
          <w:bCs w:val="false"/>
          <w:i w:val="false"/>
          <w:iCs w:val="false"/>
          <w:color w:val="000000"/>
          <w:sz w:val="21"/>
          <w:szCs w:val="21"/>
        </w:rPr>
        <w:t xml:space="preserve">– Lückenlose Dokumentation der Übertragungskette bis zum aktuellen Anbieter</w:t>
      </w:r>
    </w:p>
    <w:p>
      <w:pPr>
        <w:spacing w:after="40"/>
        <w:ind w:left="280" w:hanging="200"/>
      </w:pPr>
      <w:r>
        <w:rPr>
          <w:rFonts w:ascii="Calibri" w:cs="Calibri" w:eastAsia="Calibri" w:hAnsi="Calibri"/>
          <w:b w:val="false"/>
          <w:bCs w:val="false"/>
          <w:i w:val="false"/>
          <w:iCs w:val="false"/>
          <w:color w:val="000000"/>
          <w:sz w:val="21"/>
          <w:szCs w:val="21"/>
        </w:rPr>
        <w:t xml:space="preserve">– Bei Volumenlizenzen: Nachweis, dass eine Aufteilung überhaupt zulässig ist</w:t>
      </w:r>
    </w:p>
    <w:p>
      <w:pPr>
        <w:pStyle w:val="Heading3"/>
        <w:spacing w:after="80" w:before="180"/>
      </w:pPr>
      <w:r>
        <w:rPr>
          <w:rFonts w:ascii="Calibri" w:cs="Calibri" w:eastAsia="Calibri" w:hAnsi="Calibri"/>
          <w:b/>
          <w:bCs/>
          <w:i w:val="false"/>
          <w:iCs w:val="false"/>
          <w:color w:val="000000"/>
          <w:sz w:val="22"/>
          <w:szCs w:val="22"/>
        </w:rPr>
        <w:t xml:space="preserve">c) (2 P)</w:t>
      </w:r>
    </w:p>
    <w:p>
      <w:pPr>
        <w:spacing w:after="100" w:before="0"/>
      </w:pPr>
      <w:r>
        <w:rPr>
          <w:rFonts w:ascii="Calibri" w:cs="Calibri" w:eastAsia="Calibri" w:hAnsi="Calibri"/>
          <w:b w:val="false"/>
          <w:bCs w:val="false"/>
          <w:i w:val="false"/>
          <w:iCs w:val="false"/>
          <w:color w:val="000000"/>
          <w:sz w:val="21"/>
          <w:szCs w:val="21"/>
        </w:rPr>
        <w:t xml:space="preserve">Nicht bestellen. Gegenüber dem Kunden ist sachlich zu begründen: Ohne Nachweiskette lässt sich im Prüfungsfall nicht belegen, dass die Software rechtmäßig genutzt wird; das Risiko trägt am Ende die Kanzlei. Alternativ: Angebot regulärer Lizenzen oder eines Subskriptionsmodells mit geringerer Anfangsbelastung.</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Gebrauchtsoftware ist nicht grundsätzlich unzulässig. Punktabzug, wenn pauschal behauptet wird, Gebrauchtlizenzen seien verboten — das Problem ist hier ausschließlich der fehlende Nachweis.</w:t>
      </w:r>
    </w:p>
    <w:p>
      <w:pPr>
        <w:pStyle w:val="Heading1"/>
        <w:spacing w:after="130" w:before="300"/>
      </w:pPr>
      <w:r>
        <w:rPr>
          <w:rFonts w:ascii="Calibri" w:cs="Calibri" w:eastAsia="Calibri" w:hAnsi="Calibri"/>
          <w:b/>
          <w:bCs/>
          <w:i w:val="false"/>
          <w:iCs w:val="false"/>
          <w:color w:val="003366"/>
          <w:sz w:val="28"/>
          <w:szCs w:val="28"/>
        </w:rPr>
        <w:t xml:space="preserve">Fall 4  (8 Punkte)</w:t>
      </w:r>
    </w:p>
    <w:p>
      <w:pPr>
        <w:pStyle w:val="Heading3"/>
        <w:spacing w:after="80" w:before="180"/>
      </w:pPr>
      <w:r>
        <w:rPr>
          <w:rFonts w:ascii="Calibri" w:cs="Calibri" w:eastAsia="Calibri" w:hAnsi="Calibri"/>
          <w:b/>
          <w:bCs/>
          <w:i w:val="false"/>
          <w:iCs w:val="false"/>
          <w:color w:val="000000"/>
          <w:sz w:val="22"/>
          <w:szCs w:val="22"/>
        </w:rPr>
        <w:t xml:space="preserve">a) (3 P)</w:t>
      </w:r>
    </w:p>
    <w:p>
      <w:pPr>
        <w:spacing w:after="100" w:before="0"/>
      </w:pPr>
      <w:r>
        <w:rPr>
          <w:rFonts w:ascii="Calibri" w:cs="Calibri" w:eastAsia="Calibri" w:hAnsi="Calibri"/>
          <w:b w:val="false"/>
          <w:bCs w:val="false"/>
          <w:i w:val="false"/>
          <w:iCs w:val="false"/>
          <w:color w:val="000000"/>
          <w:sz w:val="21"/>
          <w:szCs w:val="21"/>
        </w:rPr>
        <w:t xml:space="preserve">Die Aussage ist falsch. Open Source bedeutet offener Quelltext, nicht Abwesenheit von Bedingungen. Auch freie Lizenzen sind Verträge mit Pflichten, etwa zur Nennung der Urheber, zur Weitergabe des Lizenztextes oder zur Offenlegung von Änderungen.</w:t>
      </w:r>
    </w:p>
    <w:p>
      <w:pPr>
        <w:pStyle w:val="Heading3"/>
        <w:spacing w:after="80" w:before="180"/>
      </w:pPr>
      <w:r>
        <w:rPr>
          <w:rFonts w:ascii="Calibri" w:cs="Calibri" w:eastAsia="Calibri" w:hAnsi="Calibri"/>
          <w:b/>
          <w:bCs/>
          <w:i w:val="false"/>
          <w:iCs w:val="false"/>
          <w:color w:val="000000"/>
          <w:sz w:val="22"/>
          <w:szCs w:val="22"/>
        </w:rPr>
        <w:t xml:space="preserve">b) (3 P)</w:t>
      </w:r>
    </w:p>
    <w:p>
      <w:pPr>
        <w:spacing w:after="40"/>
        <w:ind w:left="280" w:hanging="200"/>
      </w:pPr>
      <w:r>
        <w:rPr>
          <w:rFonts w:ascii="Calibri" w:cs="Calibri" w:eastAsia="Calibri" w:hAnsi="Calibri"/>
          <w:b w:val="false"/>
          <w:bCs w:val="false"/>
          <w:i w:val="false"/>
          <w:iCs w:val="false"/>
          <w:color w:val="000000"/>
          <w:sz w:val="21"/>
          <w:szCs w:val="21"/>
        </w:rPr>
        <w:t xml:space="preserve">– Welche Lizenz gilt konkret, und in welcher Fassung</w:t>
      </w:r>
    </w:p>
    <w:p>
      <w:pPr>
        <w:spacing w:after="40"/>
        <w:ind w:left="280" w:hanging="200"/>
      </w:pPr>
      <w:r>
        <w:rPr>
          <w:rFonts w:ascii="Calibri" w:cs="Calibri" w:eastAsia="Calibri" w:hAnsi="Calibri"/>
          <w:b w:val="false"/>
          <w:bCs w:val="false"/>
          <w:i w:val="false"/>
          <w:iCs w:val="false"/>
          <w:color w:val="000000"/>
          <w:sz w:val="21"/>
          <w:szCs w:val="21"/>
        </w:rPr>
        <w:t xml:space="preserve">– Welche Pflichten entstehen bei Nutzung und bei Weitergabe</w:t>
      </w:r>
    </w:p>
    <w:p>
      <w:pPr>
        <w:spacing w:after="40"/>
        <w:ind w:left="280" w:hanging="200"/>
      </w:pPr>
      <w:r>
        <w:rPr>
          <w:rFonts w:ascii="Calibri" w:cs="Calibri" w:eastAsia="Calibri" w:hAnsi="Calibri"/>
          <w:b w:val="false"/>
          <w:bCs w:val="false"/>
          <w:i w:val="false"/>
          <w:iCs w:val="false"/>
          <w:color w:val="000000"/>
          <w:sz w:val="21"/>
          <w:szCs w:val="21"/>
        </w:rPr>
        <w:t xml:space="preserve">– Ob die Lizenz verlangt, dass abgeleitete Werke unter derselben Lizenz weitergegeben werden</w:t>
      </w:r>
    </w:p>
    <w:p>
      <w:pPr>
        <w:spacing w:after="40"/>
        <w:ind w:left="280" w:hanging="200"/>
      </w:pPr>
      <w:r>
        <w:rPr>
          <w:rFonts w:ascii="Calibri" w:cs="Calibri" w:eastAsia="Calibri" w:hAnsi="Calibri"/>
          <w:b w:val="false"/>
          <w:bCs w:val="false"/>
          <w:i w:val="false"/>
          <w:iCs w:val="false"/>
          <w:color w:val="000000"/>
          <w:sz w:val="21"/>
          <w:szCs w:val="21"/>
        </w:rPr>
        <w:t xml:space="preserve">– Ob die Bibliothek mit den übrigen eingesetzten Komponenten lizenzrechtlich vereinbar ist</w:t>
      </w:r>
    </w:p>
    <w:p>
      <w:pPr>
        <w:spacing w:after="40"/>
        <w:ind w:left="280" w:hanging="200"/>
      </w:pPr>
      <w:r>
        <w:rPr>
          <w:rFonts w:ascii="Calibri" w:cs="Calibri" w:eastAsia="Calibri" w:hAnsi="Calibri"/>
          <w:b w:val="false"/>
          <w:bCs w:val="false"/>
          <w:i w:val="false"/>
          <w:iCs w:val="false"/>
          <w:color w:val="000000"/>
          <w:sz w:val="21"/>
          <w:szCs w:val="21"/>
        </w:rPr>
        <w:t xml:space="preserve">– Ob die Lizenzhinweise in der Auslieferung mitgeführt werden</w:t>
      </w:r>
    </w:p>
    <w:p>
      <w:pPr>
        <w:pStyle w:val="Heading3"/>
        <w:spacing w:after="80" w:before="180"/>
      </w:pPr>
      <w:r>
        <w:rPr>
          <w:rFonts w:ascii="Calibri" w:cs="Calibri" w:eastAsia="Calibri" w:hAnsi="Calibri"/>
          <w:b/>
          <w:bCs/>
          <w:i w:val="false"/>
          <w:iCs w:val="false"/>
          <w:color w:val="000000"/>
          <w:sz w:val="22"/>
          <w:szCs w:val="22"/>
        </w:rPr>
        <w:t xml:space="preserve">c) (2 P)</w:t>
      </w:r>
    </w:p>
    <w:p>
      <w:pPr>
        <w:spacing w:after="100" w:before="0"/>
      </w:pPr>
      <w:r>
        <w:rPr>
          <w:rFonts w:ascii="Calibri" w:cs="Calibri" w:eastAsia="Calibri" w:hAnsi="Calibri"/>
          <w:b w:val="false"/>
          <w:bCs w:val="false"/>
          <w:i w:val="false"/>
          <w:iCs w:val="false"/>
          <w:color w:val="000000"/>
          <w:sz w:val="21"/>
          <w:szCs w:val="21"/>
        </w:rPr>
        <w:t xml:space="preserve">Solange nur intern genutzt wird, treten viele Pflichten nicht in Erscheinung. Mit der Weitergabe an den Kunden liegt eine Verbreitung vor, und genau daran knüpfen die meisten Pflichten an. Wer das übersieht, riskiert, das gesamte Werkzeug offenlegen zu müssen oder es zurückziehen zu müssen.</w:t>
      </w:r>
    </w:p>
    <w:p>
      <w:pPr>
        <w:pStyle w:val="Heading1"/>
        <w:spacing w:after="130" w:before="300"/>
      </w:pPr>
      <w:r>
        <w:rPr>
          <w:rFonts w:ascii="Calibri" w:cs="Calibri" w:eastAsia="Calibri" w:hAnsi="Calibri"/>
          <w:b/>
          <w:bCs/>
          <w:i w:val="false"/>
          <w:iCs w:val="false"/>
          <w:color w:val="003366"/>
          <w:sz w:val="28"/>
          <w:szCs w:val="28"/>
        </w:rPr>
        <w:t xml:space="preserve">Fall 5  (6 Punkte)</w:t>
      </w:r>
    </w:p>
    <w:p>
      <w:pPr>
        <w:pStyle w:val="Heading3"/>
        <w:spacing w:after="80" w:before="180"/>
      </w:pPr>
      <w:r>
        <w:rPr>
          <w:rFonts w:ascii="Calibri" w:cs="Calibri" w:eastAsia="Calibri" w:hAnsi="Calibri"/>
          <w:b/>
          <w:bCs/>
          <w:i w:val="false"/>
          <w:iCs w:val="false"/>
          <w:color w:val="000000"/>
          <w:sz w:val="22"/>
          <w:szCs w:val="22"/>
        </w:rPr>
        <w:t xml:space="preserve">a) (4 P)</w:t>
      </w:r>
    </w:p>
    <w:p>
      <w:pPr>
        <w:spacing w:after="100" w:before="0"/>
      </w:pPr>
      <w:r>
        <w:rPr>
          <w:rFonts w:ascii="Calibri" w:cs="Calibri" w:eastAsia="Calibri" w:hAnsi="Calibri"/>
          <w:b w:val="false"/>
          <w:bCs w:val="false"/>
          <w:i w:val="false"/>
          <w:iCs w:val="false"/>
          <w:color w:val="000000"/>
          <w:sz w:val="21"/>
          <w:szCs w:val="21"/>
        </w:rPr>
        <w:t xml:space="preserve">Das Anliegen von Herrn Steinbach ist zulässig: Eine Sicherungskopie darf erstellt werden, soweit sie für die Sicherung der künftigen Nutzung erforderlich ist. Sie dient ausschließlich der Wiederherstellung und darf nicht parallel eingesetzt werden.</w:t>
      </w:r>
    </w:p>
    <w:p>
      <w:pPr>
        <w:spacing w:after="100" w:before="0"/>
      </w:pPr>
      <w:r>
        <w:rPr>
          <w:rFonts w:ascii="Calibri" w:cs="Calibri" w:eastAsia="Calibri" w:hAnsi="Calibri"/>
          <w:b w:val="false"/>
          <w:bCs w:val="false"/>
          <w:i w:val="false"/>
          <w:iCs w:val="false"/>
          <w:color w:val="000000"/>
          <w:sz w:val="21"/>
          <w:szCs w:val="21"/>
        </w:rPr>
        <w:t xml:space="preserve">Das Anliegen des Mitarbeiters ist nicht zulässig. Eine Kopie mit nach Hause zu nehmen, ist keine Sicherungskopie, sondern eine zusätzliche Nutzungsmöglichkeit außerhalb des lizenzierten Umfangs. Hinzu kommt bei einer Steuerkanzlei die Frage des Datenschutzes.</w:t>
      </w:r>
    </w:p>
    <w:p>
      <w:pPr>
        <w:pStyle w:val="Heading3"/>
        <w:spacing w:after="80" w:before="180"/>
      </w:pPr>
      <w:r>
        <w:rPr>
          <w:rFonts w:ascii="Calibri" w:cs="Calibri" w:eastAsia="Calibri" w:hAnsi="Calibri"/>
          <w:b/>
          <w:bCs/>
          <w:i w:val="false"/>
          <w:iCs w:val="false"/>
          <w:color w:val="000000"/>
          <w:sz w:val="22"/>
          <w:szCs w:val="22"/>
        </w:rPr>
        <w:t xml:space="preserve">b) (2 P)</w:t>
      </w:r>
    </w:p>
    <w:p>
      <w:pPr>
        <w:spacing w:after="100" w:before="0"/>
      </w:pPr>
      <w:r>
        <w:rPr>
          <w:rFonts w:ascii="Calibri" w:cs="Calibri" w:eastAsia="Calibri" w:hAnsi="Calibri"/>
          <w:b w:val="false"/>
          <w:bCs w:val="false"/>
          <w:i w:val="false"/>
          <w:iCs w:val="false"/>
          <w:color w:val="000000"/>
          <w:sz w:val="21"/>
          <w:szCs w:val="21"/>
        </w:rPr>
        <w:t xml:space="preserve">Die Sicherungskopie bleibt im Verfügungsbereich des Lizenznehmers und wird nicht genutzt, sondern vorgehalten. Die private Kopie schafft eine zweite, tatsächlich nutzbare Installation und überschreitet damit den lizenzierten Umfang.</w:t>
      </w:r>
    </w:p>
    <w:p>
      <w:pPr>
        <w:pStyle w:val="Heading1"/>
        <w:spacing w:after="130" w:before="300"/>
      </w:pPr>
      <w:r>
        <w:rPr>
          <w:rFonts w:ascii="Calibri" w:cs="Calibri" w:eastAsia="Calibri" w:hAnsi="Calibri"/>
          <w:b/>
          <w:bCs/>
          <w:i w:val="false"/>
          <w:iCs w:val="false"/>
          <w:color w:val="003366"/>
          <w:sz w:val="28"/>
          <w:szCs w:val="28"/>
        </w:rPr>
        <w:t xml:space="preserve">Fall 6  (9 Punkte)</w:t>
      </w:r>
    </w:p>
    <w:p>
      <w:pPr>
        <w:pStyle w:val="Heading3"/>
        <w:spacing w:after="80" w:before="180"/>
      </w:pPr>
      <w:r>
        <w:rPr>
          <w:rFonts w:ascii="Calibri" w:cs="Calibri" w:eastAsia="Calibri" w:hAnsi="Calibri"/>
          <w:b/>
          <w:bCs/>
          <w:i w:val="false"/>
          <w:iCs w:val="false"/>
          <w:color w:val="000000"/>
          <w:sz w:val="22"/>
          <w:szCs w:val="22"/>
        </w:rPr>
        <w:t xml:space="preserve">a) (3 P)</w:t>
      </w:r>
    </w:p>
    <w:p>
      <w:pPr>
        <w:spacing w:after="100" w:before="0"/>
      </w:pPr>
      <w:r>
        <w:rPr>
          <w:rFonts w:ascii="Calibri" w:cs="Calibri" w:eastAsia="Calibri" w:hAnsi="Calibri"/>
          <w:b w:val="false"/>
          <w:bCs w:val="false"/>
          <w:i w:val="false"/>
          <w:iCs w:val="false"/>
          <w:color w:val="000000"/>
          <w:sz w:val="21"/>
          <w:szCs w:val="21"/>
        </w:rPr>
        <w:t xml:space="preserve">Ohne Übersicht lässt sich die rechtmäßige Nutzung nicht belegen. Die Beweislast liegt beim Nutzer. Mögliche Folgen: Nachlizenzierung zum Listenpreis, Schadensersatzforderungen, im Wiederholungsfall weitergehende Konsequenzen. Hinzu kommt der Aufwand, die Situation unter Zeitdruck zu rekonstruieren.</w:t>
      </w:r>
    </w:p>
    <w:p>
      <w:pPr>
        <w:pStyle w:val="Heading3"/>
        <w:spacing w:after="80" w:before="180"/>
      </w:pPr>
      <w:r>
        <w:rPr>
          <w:rFonts w:ascii="Calibri" w:cs="Calibri" w:eastAsia="Calibri" w:hAnsi="Calibri"/>
          <w:b/>
          <w:bCs/>
          <w:i w:val="false"/>
          <w:iCs w:val="false"/>
          <w:color w:val="000000"/>
          <w:sz w:val="22"/>
          <w:szCs w:val="22"/>
        </w:rPr>
        <w:t xml:space="preserve">b) (3 P)</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3400"/>
        <w:gridCol w:w="6238"/>
      </w:tblGrid>
      <w:tr>
        <w:trPr>
          <w:tblHeader/>
        </w:trPr>
        <w:tc>
          <w:tcPr>
            <w:tcW w:type="dxa" w:w="3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Angabe</w:t>
            </w:r>
          </w:p>
        </w:tc>
        <w:tc>
          <w:tcPr>
            <w:tcW w:type="dxa" w:w="62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Warum sie gebraucht wird</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Software, Version, Edition</w:t>
            </w:r>
          </w:p>
        </w:tc>
        <w:tc>
          <w:tcPr>
            <w:tcW w:type="dxa" w:w="6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Lizenzen gelten für bestimmte Versionen</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Anzahl der Lizenzen und Lizenzart</w:t>
            </w:r>
          </w:p>
        </w:tc>
        <w:tc>
          <w:tcPr>
            <w:tcW w:type="dxa" w:w="6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Grundlage für den Abgleich</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Installiert auf welchem Gerät oder für welche Person</w:t>
            </w:r>
          </w:p>
        </w:tc>
        <w:tc>
          <w:tcPr>
            <w:tcW w:type="dxa" w:w="6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Zeigt Über- und Unterlizenzierung</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Kaufbeleg oder Vertragsnummer</w:t>
            </w:r>
          </w:p>
        </w:tc>
        <w:tc>
          <w:tcPr>
            <w:tcW w:type="dxa" w:w="6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Der eigentliche Nachweis</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Ablauf- oder Verlängerungsdatum</w:t>
            </w:r>
          </w:p>
        </w:tc>
        <w:tc>
          <w:tcPr>
            <w:tcW w:type="dxa" w:w="6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Bei Subskriptionen entscheidend</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Ablageort des Nachweises</w:t>
            </w:r>
          </w:p>
        </w:tc>
        <w:tc>
          <w:tcPr>
            <w:tcW w:type="dxa" w:w="6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Ohne auffindbaren Beleg nützt die Übersicht nichts</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c) (3 P)</w:t>
      </w:r>
    </w:p>
    <w:p>
      <w:pPr>
        <w:spacing w:after="40"/>
        <w:ind w:left="280" w:hanging="200"/>
      </w:pPr>
      <w:r>
        <w:rPr>
          <w:rFonts w:ascii="Calibri" w:cs="Calibri" w:eastAsia="Calibri" w:hAnsi="Calibri"/>
          <w:b w:val="false"/>
          <w:bCs w:val="false"/>
          <w:i w:val="false"/>
          <w:iCs w:val="false"/>
          <w:color w:val="000000"/>
          <w:sz w:val="21"/>
          <w:szCs w:val="21"/>
        </w:rPr>
        <w:t xml:space="preserve">– Lizenzübersicht bei jeder Beschaffung und jeder Installation fortschreiben, nicht nachträglich anlegen</w:t>
      </w:r>
    </w:p>
    <w:p>
      <w:pPr>
        <w:spacing w:after="40"/>
        <w:ind w:left="280" w:hanging="200"/>
      </w:pPr>
      <w:r>
        <w:rPr>
          <w:rFonts w:ascii="Calibri" w:cs="Calibri" w:eastAsia="Calibri" w:hAnsi="Calibri"/>
          <w:b w:val="false"/>
          <w:bCs w:val="false"/>
          <w:i w:val="false"/>
          <w:iCs w:val="false"/>
          <w:color w:val="000000"/>
          <w:sz w:val="21"/>
          <w:szCs w:val="21"/>
        </w:rPr>
        <w:t xml:space="preserve">– Lizenznachweise zentral und geordnet ablegen, digital und auffindbar</w:t>
      </w:r>
    </w:p>
    <w:p>
      <w:pPr>
        <w:spacing w:after="40"/>
        <w:ind w:left="280" w:hanging="200"/>
      </w:pPr>
      <w:r>
        <w:rPr>
          <w:rFonts w:ascii="Calibri" w:cs="Calibri" w:eastAsia="Calibri" w:hAnsi="Calibri"/>
          <w:b w:val="false"/>
          <w:bCs w:val="false"/>
          <w:i w:val="false"/>
          <w:iCs w:val="false"/>
          <w:color w:val="000000"/>
          <w:sz w:val="21"/>
          <w:szCs w:val="21"/>
        </w:rPr>
        <w:t xml:space="preserve">– Regelmäßiger Abgleich zwischen installierter Software und vorhandenen Lizenzen, etwa jährlich</w:t>
      </w:r>
    </w:p>
    <w:p>
      <w:pPr>
        <w:spacing w:after="40"/>
        <w:ind w:left="280" w:hanging="200"/>
      </w:pPr>
      <w:r>
        <w:rPr>
          <w:rFonts w:ascii="Calibri" w:cs="Calibri" w:eastAsia="Calibri" w:hAnsi="Calibri"/>
          <w:b w:val="false"/>
          <w:bCs w:val="false"/>
          <w:i w:val="false"/>
          <w:iCs w:val="false"/>
          <w:color w:val="000000"/>
          <w:sz w:val="21"/>
          <w:szCs w:val="21"/>
        </w:rPr>
        <w:t xml:space="preserve">– Feste Zuständigkeit benennen statt Zufallsprinzip</w:t>
      </w:r>
    </w:p>
    <w:p>
      <w:pPr>
        <w:spacing w:after="40"/>
        <w:ind w:left="280" w:hanging="200"/>
      </w:pPr>
      <w:r>
        <w:rPr>
          <w:rFonts w:ascii="Calibri" w:cs="Calibri" w:eastAsia="Calibri" w:hAnsi="Calibri"/>
          <w:b w:val="false"/>
          <w:bCs w:val="false"/>
          <w:i w:val="false"/>
          <w:iCs w:val="false"/>
          <w:color w:val="000000"/>
          <w:sz w:val="21"/>
          <w:szCs w:val="21"/>
        </w:rPr>
        <w:t xml:space="preserve">– Lizenzübersicht als Teil der Übergabedokumentation mitliefern</w:t>
      </w:r>
    </w:p>
    <w:p>
      <w:pPr>
        <w:pStyle w:val="Heading1"/>
        <w:spacing w:after="130" w:before="300"/>
      </w:pPr>
      <w:r>
        <w:rPr>
          <w:rFonts w:ascii="Calibri" w:cs="Calibri" w:eastAsia="Calibri" w:hAnsi="Calibri"/>
          <w:b/>
          <w:bCs/>
          <w:i w:val="false"/>
          <w:iCs w:val="false"/>
          <w:color w:val="003366"/>
          <w:sz w:val="28"/>
          <w:szCs w:val="28"/>
        </w:rPr>
        <w:t xml:space="preserve">Bewertungsraster</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5200"/>
        <w:gridCol w:w="1400"/>
        <w:gridCol w:w="3038"/>
      </w:tblGrid>
      <w:tr>
        <w:trPr>
          <w:tblHeader/>
        </w:trPr>
        <w:tc>
          <w:tcPr>
            <w:tcW w:type="dxa" w:w="52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Fall</w:t>
            </w:r>
          </w:p>
        </w:tc>
        <w:tc>
          <w:tcPr>
            <w:tcW w:type="dxa" w:w="1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Punkte</w:t>
            </w:r>
          </w:p>
        </w:tc>
        <w:tc>
          <w:tcPr>
            <w:tcW w:type="dxa" w:w="30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Schwerpunkt</w:t>
            </w:r>
          </w:p>
        </w:tc>
      </w:tr>
      <w:tr>
        <w:trPr>
          <w:cantSplit w:val="false"/>
        </w:trPr>
        <w:tc>
          <w:tcPr>
            <w:tcW w:type="dxa" w:w="5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 Einzelplatzlizenz auf zwei Geräten</w:t>
            </w:r>
          </w:p>
        </w:tc>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8</w:t>
            </w:r>
          </w:p>
        </w:tc>
        <w:tc>
          <w:tcPr>
            <w:tcW w:type="dxa" w:w="3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Lizenzvertrag als Maßstab</w:t>
            </w:r>
          </w:p>
        </w:tc>
      </w:tr>
      <w:tr>
        <w:trPr>
          <w:cantSplit w:val="false"/>
        </w:trPr>
        <w:tc>
          <w:tcPr>
            <w:tcW w:type="dxa" w:w="5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 OEM beim Gerätetausch</w:t>
            </w:r>
          </w:p>
        </w:tc>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6</w:t>
            </w:r>
          </w:p>
        </w:tc>
        <w:tc>
          <w:tcPr>
            <w:tcW w:type="dxa" w:w="3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Gerätebindung, Folge für die Kalkulation</w:t>
            </w:r>
          </w:p>
        </w:tc>
      </w:tr>
      <w:tr>
        <w:trPr>
          <w:cantSplit w:val="false"/>
        </w:trPr>
        <w:tc>
          <w:tcPr>
            <w:tcW w:type="dxa" w:w="5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3 Gebrauchtsoftware</w:t>
            </w:r>
          </w:p>
        </w:tc>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8</w:t>
            </w:r>
          </w:p>
        </w:tc>
        <w:tc>
          <w:tcPr>
            <w:tcW w:type="dxa" w:w="3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Nachweiskette, differenzierte Beurteilung</w:t>
            </w:r>
          </w:p>
        </w:tc>
      </w:tr>
      <w:tr>
        <w:trPr>
          <w:cantSplit w:val="false"/>
        </w:trPr>
        <w:tc>
          <w:tcPr>
            <w:tcW w:type="dxa" w:w="5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4 Open Source</w:t>
            </w:r>
          </w:p>
        </w:tc>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8</w:t>
            </w:r>
          </w:p>
        </w:tc>
        <w:tc>
          <w:tcPr>
            <w:tcW w:type="dxa" w:w="3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Pflichten trotz Kostenfreiheit, Weitergabe</w:t>
            </w:r>
          </w:p>
        </w:tc>
      </w:tr>
      <w:tr>
        <w:trPr>
          <w:cantSplit w:val="false"/>
        </w:trPr>
        <w:tc>
          <w:tcPr>
            <w:tcW w:type="dxa" w:w="5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5 Sicherungskopie</w:t>
            </w:r>
          </w:p>
        </w:tc>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6</w:t>
            </w:r>
          </w:p>
        </w:tc>
        <w:tc>
          <w:tcPr>
            <w:tcW w:type="dxa" w:w="3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Zulässige und unzulässige Kopie unterscheiden</w:t>
            </w:r>
          </w:p>
        </w:tc>
      </w:tr>
      <w:tr>
        <w:trPr>
          <w:cantSplit w:val="false"/>
        </w:trPr>
        <w:tc>
          <w:tcPr>
            <w:tcW w:type="dxa" w:w="5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6 Lizenzprüfung</w:t>
            </w:r>
          </w:p>
        </w:tc>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9</w:t>
            </w:r>
          </w:p>
        </w:tc>
        <w:tc>
          <w:tcPr>
            <w:tcW w:type="dxa" w:w="3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Beweislast, Inhalt einer Lizenzübersicht</w:t>
            </w:r>
          </w:p>
        </w:tc>
      </w:tr>
      <w:tr>
        <w:trPr>
          <w:cantSplit w:val="false"/>
        </w:trPr>
        <w:tc>
          <w:tcPr>
            <w:tcW w:type="dxa" w:w="5200"/>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Summe</w:t>
            </w:r>
          </w:p>
        </w:tc>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bCs/>
                <w:i w:val="false"/>
                <w:iCs w:val="false"/>
                <w:color w:val="000000"/>
                <w:sz w:val="21"/>
                <w:szCs w:val="21"/>
              </w:rPr>
              <w:t xml:space="preserve">45</w:t>
            </w:r>
          </w:p>
        </w:tc>
        <w:tc>
          <w:tcPr>
            <w:tcW w:type="dxa" w:w="3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r>
          </w:p>
        </w:tc>
      </w:tr>
    </w:tbl>
    <w:p>
      <w:pPr>
        <w:spacing w:after="0" w:before="0"/>
      </w:pPr>
      <w:r>
        <w:rPr>
          <w:rFonts w:ascii="Calibri" w:cs="Calibri" w:eastAsia="Calibri" w:hAnsi="Calibri"/>
          <w:b w:val="false"/>
          <w:bCs w:val="false"/>
          <w:i w:val="false"/>
          <w:iCs w:val="false"/>
          <w:color w:val="000000"/>
          <w:sz w:val="21"/>
          <w:szCs w:val="21"/>
        </w:rPr>
        <w:t xml:space="preserve"/>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D32" w:sz="8"/>
      </w:pBdr>
      <w:spacing w:after="70"/>
    </w:pPr>
    <w:r>
      <w:rPr>
        <w:rFonts w:ascii="Calibri" w:cs="Calibri" w:eastAsia="Calibri" w:hAnsi="Calibri"/>
        <w:b/>
        <w:bCs/>
        <w:i w:val="false"/>
        <w:iCs w:val="false"/>
        <w:color w:val="003366"/>
        <w:sz w:val="16"/>
        <w:szCs w:val="16"/>
      </w:rPr>
      <w:t xml:space="preserve">bfw – Umschulung Fachinformatiker/-in  |  Modul B / LF 2  |  LE 03 Software, Lizenzen und Urheberrecht  |  MUSTERLÖSUNG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Lizenzen und Urheberrecht — Erwartungshorizont</dc:title>
  <dc:creator>bfw</dc:creator>
  <cp:lastModifiedBy>Un-named</cp:lastModifiedBy>
  <cp:revision>1</cp:revision>
  <dcterms:created xsi:type="dcterms:W3CDTF">2026-08-11T05:09:41.681Z</dcterms:created>
  <dcterms:modified xsi:type="dcterms:W3CDTF">2026-08-11T05:09:41.681Z</dcterms:modified>
</cp:coreProperties>
</file>

<file path=docProps/custom.xml><?xml version="1.0" encoding="utf-8"?>
<Properties xmlns="http://schemas.openxmlformats.org/officeDocument/2006/custom-properties" xmlns:vt="http://schemas.openxmlformats.org/officeDocument/2006/docPropsVTypes"/>
</file>