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i w:val="false"/>
          <w:iCs w:val="false"/>
          <w:color w:val="003366"/>
          <w:sz w:val="34"/>
          <w:szCs w:val="34"/>
        </w:rPr>
        <w:t xml:space="preserve">Der Auftrag Steinbach &amp; Partner</w:t>
      </w:r>
    </w:p>
    <w:p>
      <w:pPr>
        <w:spacing w:after="220"/>
      </w:pPr>
      <w:r>
        <w:rPr>
          <w:rFonts w:ascii="Calibri" w:cs="Calibri" w:eastAsia="Calibri" w:hAnsi="Calibri"/>
          <w:b w:val="false"/>
          <w:bCs w:val="false"/>
          <w:i w:val="false"/>
          <w:iCs w:val="false"/>
          <w:color w:val="0066AA"/>
          <w:sz w:val="22"/>
          <w:szCs w:val="22"/>
        </w:rPr>
        <w:t xml:space="preserve">Rahmenszenario für das gesamte Modul B</w:t>
      </w:r>
    </w:p>
    <w:p>
      <w:pPr>
        <w:pBdr>
          <w:left w:val="single" w:color="F0A500" w:sz="18"/>
        </w:pBdr>
        <w:shd w:fill="FFF4DC" w:color="auto" w:val="clear"/>
        <w:spacing w:after="140" w:before="140"/>
        <w:ind w:left="200" w:right="100"/>
      </w:pPr>
      <w:r>
        <w:rPr>
          <w:rFonts w:ascii="Calibri" w:cs="Calibri" w:eastAsia="Calibri" w:hAnsi="Calibri"/>
          <w:b w:val="false"/>
          <w:bCs w:val="false"/>
          <w:i/>
          <w:iCs/>
          <w:color w:val="000000"/>
          <w:sz w:val="21"/>
          <w:szCs w:val="21"/>
        </w:rPr>
        <w:t xml:space="preserve">Dieses Szenario trägt das gesamte Modul. Alle Aufgaben, Übungen und die Modulprüfung beziehen sich darauf. Bewahren Sie Ihre Arbeitsergebnisse in einer Auftragsmappe auf — Sie brauchen sie bis zur Übergabe in Lerneinheit 09 und zur Auswertung in Lerneinheit 10.</w:t>
      </w:r>
    </w:p>
    <w:p>
      <w:pPr>
        <w:pStyle w:val="Heading1"/>
        <w:spacing w:after="130" w:before="300"/>
      </w:pPr>
      <w:r>
        <w:rPr>
          <w:rFonts w:ascii="Calibri" w:cs="Calibri" w:eastAsia="Calibri" w:hAnsi="Calibri"/>
          <w:b/>
          <w:bCs/>
          <w:i w:val="false"/>
          <w:iCs w:val="false"/>
          <w:color w:val="003366"/>
          <w:sz w:val="28"/>
          <w:szCs w:val="28"/>
        </w:rPr>
        <w:t xml:space="preserve">1  Ihr Arbeitgeber</w:t>
      </w:r>
    </w:p>
    <w:p>
      <w:pPr>
        <w:spacing w:after="100" w:before="0"/>
      </w:pPr>
      <w:r>
        <w:rPr>
          <w:rFonts w:ascii="Calibri" w:cs="Calibri" w:eastAsia="Calibri" w:hAnsi="Calibri"/>
          <w:b w:val="false"/>
          <w:bCs w:val="false"/>
          <w:i w:val="false"/>
          <w:iCs w:val="false"/>
          <w:color w:val="000000"/>
          <w:sz w:val="21"/>
          <w:szCs w:val="21"/>
        </w:rPr>
        <w:t xml:space="preserve">Sie arbeiten als Fachinformatikerin oder Fachinformatiker bei der KONTURA GmbH, einem IT-Systemhaus mit 34 Beschäftigten. KONTURA betreut kleine und mittlere Unternehmen in der Region und deckt Beratung, Beschaffung, Einrichtung und Betreuung ab.</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3000"/>
        <w:gridCol w:w="6638"/>
      </w:tblGrid>
      <w:tr>
        <w:trPr>
          <w:cantSplit w:val="false"/>
        </w:trPr>
        <w:tc>
          <w:tcPr>
            <w:tcW w:type="dxa" w:w="30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Abteilung</w:t>
            </w:r>
          </w:p>
        </w:tc>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Kundenprojekte, Team Arbeitsplatzsysteme</w:t>
            </w:r>
          </w:p>
        </w:tc>
      </w:tr>
      <w:tr>
        <w:trPr>
          <w:cantSplit w:val="false"/>
        </w:trPr>
        <w:tc>
          <w:tcPr>
            <w:tcW w:type="dxa" w:w="30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Ihre Rolle</w:t>
            </w:r>
          </w:p>
        </w:tc>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Sie bearbeiten den Auftrag von der Bedarfsaufnahme bis zur Übergabe</w:t>
            </w:r>
          </w:p>
        </w:tc>
      </w:tr>
      <w:tr>
        <w:trPr>
          <w:cantSplit w:val="false"/>
        </w:trPr>
        <w:tc>
          <w:tcPr>
            <w:tcW w:type="dxa" w:w="30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Ihre Ansprechperson</w:t>
            </w:r>
          </w:p>
        </w:tc>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Frau Ehlers, Teamleitung Kundenprojekte</w:t>
            </w:r>
          </w:p>
        </w:tc>
      </w:tr>
      <w:tr>
        <w:trPr>
          <w:cantSplit w:val="false"/>
        </w:trPr>
        <w:tc>
          <w:tcPr>
            <w:tcW w:type="dxa" w:w="30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Kalkulationsvorgabe</w:t>
            </w:r>
          </w:p>
        </w:tc>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Handlungskosten 18 Prozent, Gewinnzuschlag 12 Prozent, Kundenskonto 2 Prozent, Kundenrabatt 5 Prozent</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1"/>
        <w:spacing w:after="130" w:before="300"/>
      </w:pPr>
      <w:r>
        <w:rPr>
          <w:rFonts w:ascii="Calibri" w:cs="Calibri" w:eastAsia="Calibri" w:hAnsi="Calibri"/>
          <w:b/>
          <w:bCs/>
          <w:i w:val="false"/>
          <w:iCs w:val="false"/>
          <w:color w:val="003366"/>
          <w:sz w:val="28"/>
          <w:szCs w:val="28"/>
        </w:rPr>
        <w:t xml:space="preserve">2  Der Kunde</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3000"/>
        <w:gridCol w:w="6638"/>
      </w:tblGrid>
      <w:tr>
        <w:trPr>
          <w:cantSplit w:val="false"/>
        </w:trPr>
        <w:tc>
          <w:tcPr>
            <w:tcW w:type="dxa" w:w="30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Firma</w:t>
            </w:r>
          </w:p>
        </w:tc>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Steinbach &amp; Partner Steuerberatungsgesellschaft mbH</w:t>
            </w:r>
          </w:p>
        </w:tc>
      </w:tr>
      <w:tr>
        <w:trPr>
          <w:cantSplit w:val="false"/>
        </w:trPr>
        <w:tc>
          <w:tcPr>
            <w:tcW w:type="dxa" w:w="30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Größe</w:t>
            </w:r>
          </w:p>
        </w:tc>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14 Beschäftigte, davon 12 an Bildschirmarbeitsplätzen</w:t>
            </w:r>
          </w:p>
        </w:tc>
      </w:tr>
      <w:tr>
        <w:trPr>
          <w:cantSplit w:val="false"/>
        </w:trPr>
        <w:tc>
          <w:tcPr>
            <w:tcW w:type="dxa" w:w="30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Ansprechperson</w:t>
            </w:r>
          </w:p>
        </w:tc>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Herr Steinbach, geschäftsführender Partner</w:t>
            </w:r>
          </w:p>
        </w:tc>
      </w:tr>
      <w:tr>
        <w:trPr>
          <w:cantSplit w:val="false"/>
        </w:trPr>
        <w:tc>
          <w:tcPr>
            <w:tcW w:type="dxa" w:w="30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Bestandskunde seit</w:t>
            </w:r>
          </w:p>
        </w:tc>
        <w:tc>
          <w:tcPr>
            <w:tcW w:type="dxa" w:w="6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2019, bisher nur Wartungsvertrag</w:t>
            </w:r>
          </w:p>
        </w:tc>
      </w:tr>
    </w:tbl>
    <w:p>
      <w:pPr>
        <w:spacing w:after="0" w:before="0"/>
      </w:pPr>
      <w:r>
        <w:rPr>
          <w:rFonts w:ascii="Calibri" w:cs="Calibri" w:eastAsia="Calibri" w:hAnsi="Calibri"/>
          <w:b w:val="false"/>
          <w:bCs w:val="false"/>
          <w:i w:val="false"/>
          <w:iCs w:val="false"/>
          <w:color w:val="000000"/>
          <w:sz w:val="21"/>
          <w:szCs w:val="21"/>
        </w:rPr>
        <w:t xml:space="preserve"/>
      </w:r>
    </w:p>
    <w:p>
      <w:pPr>
        <w:spacing w:after="100" w:before="0"/>
      </w:pPr>
      <w:r>
        <w:rPr>
          <w:rFonts w:ascii="Calibri" w:cs="Calibri" w:eastAsia="Calibri" w:hAnsi="Calibri"/>
          <w:b w:val="false"/>
          <w:bCs w:val="false"/>
          <w:i w:val="false"/>
          <w:iCs w:val="false"/>
          <w:color w:val="000000"/>
          <w:sz w:val="21"/>
          <w:szCs w:val="21"/>
        </w:rPr>
        <w:t xml:space="preserve">Die Kanzlei ist umgezogen und richtet die neuen Räume komplett neu ein. Die vorhandenen Rechner sind neun Jahre alt und sollen ersetzt werden. Der Serverraum ist bereits verkabelt, ein Windows-Server mit Domäne läuft, das Netzwerk ist vorhanden.</w:t>
      </w:r>
    </w:p>
    <w:p>
      <w:pPr>
        <w:pStyle w:val="Heading1"/>
        <w:spacing w:after="130" w:before="300"/>
      </w:pPr>
      <w:r>
        <w:rPr>
          <w:rFonts w:ascii="Calibri" w:cs="Calibri" w:eastAsia="Calibri" w:hAnsi="Calibri"/>
          <w:b/>
          <w:bCs/>
          <w:i w:val="false"/>
          <w:iCs w:val="false"/>
          <w:color w:val="003366"/>
          <w:sz w:val="28"/>
          <w:szCs w:val="28"/>
        </w:rPr>
        <w:t xml:space="preserve">3  Was der Kunde gesagt hat</w:t>
      </w:r>
    </w:p>
    <w:p>
      <w:pPr>
        <w:spacing w:after="100" w:before="0"/>
      </w:pPr>
      <w:r>
        <w:rPr>
          <w:rFonts w:ascii="Calibri" w:cs="Calibri" w:eastAsia="Calibri" w:hAnsi="Calibri"/>
          <w:b w:val="false"/>
          <w:bCs w:val="false"/>
          <w:i w:val="false"/>
          <w:iCs w:val="false"/>
          <w:color w:val="000000"/>
          <w:sz w:val="21"/>
          <w:szCs w:val="21"/>
        </w:rPr>
        <w:t xml:space="preserve">Aus dem Erstgespräch vom 3. März, Notizen von Frau Ehlers:</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9638"/>
      </w:tblGrid>
      <w:tr>
        <w:trPr>
          <w:cantSplit w:val="false"/>
        </w:trPr>
        <w:tc>
          <w:tcPr>
            <w:tcW w:type="dxa" w:w="9638"/>
            <w:shd w:fill="EEF5FB" w:color="auto" w:val="clear"/>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„Wir brauchen zwölf neue Arbeitsplätze. Alles muss mit unserer Kanzleisoftware laufen, da hängt unser ganzer Betrieb dran. Zwei Bildschirme pro Platz sind Pflicht, unsere Leute arbeiten ständig mit zwei Dokumenten nebeneinander. Frau Adam im Sekretariat hat eine starke Sehbehinderung, für sie muss etwas Besonderes her. Die alten Rechner müssen weg, aber ordentlich — bei uns liegen Mandantendaten drauf. Wir sitzen jetzt im Großraum, es ist deutlich lauter als früher. Und ein Drucker im Flur soll von allen erreichbar sein. Der Umzug ist am 4. Mai durch, ab dem 11. Mai muss alles laufen, dann beginnt die Fristenphase. Preislich stellen wir uns etwas unter 25.000 Euro vor. Was genau wir brauchen, sagen Sie uns — dafür rufen wir Sie ja an."</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1"/>
        <w:spacing w:after="130" w:before="300"/>
      </w:pPr>
      <w:r>
        <w:rPr>
          <w:rFonts w:ascii="Calibri" w:cs="Calibri" w:eastAsia="Calibri" w:hAnsi="Calibri"/>
          <w:b/>
          <w:bCs/>
          <w:i w:val="false"/>
          <w:iCs w:val="false"/>
          <w:color w:val="003366"/>
          <w:sz w:val="28"/>
          <w:szCs w:val="28"/>
        </w:rPr>
        <w:t xml:space="preserve">4  Was im Kundengespräch noch zu klären ist</w:t>
      </w:r>
    </w:p>
    <w:p>
      <w:pPr>
        <w:spacing w:after="100" w:before="0"/>
      </w:pPr>
      <w:r>
        <w:rPr>
          <w:rFonts w:ascii="Calibri" w:cs="Calibri" w:eastAsia="Calibri" w:hAnsi="Calibri"/>
          <w:b w:val="false"/>
          <w:bCs w:val="false"/>
          <w:i w:val="false"/>
          <w:iCs w:val="false"/>
          <w:color w:val="000000"/>
          <w:sz w:val="21"/>
          <w:szCs w:val="21"/>
        </w:rPr>
        <w:t xml:space="preserve">Die Notizen enthalten Wünsche, keine Anforderungen. Vor dem Lastenheft müssen Sie mindestens die folgenden Punkte klären. Ergänzen Sie im Rollenspiel eigene Fragen.</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4500"/>
        <w:gridCol w:w="5138"/>
      </w:tblGrid>
      <w:tr>
        <w:trPr>
          <w:tblHeader/>
        </w:trPr>
        <w:tc>
          <w:tcPr>
            <w:tcW w:type="dxa" w:w="45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Offener Punkt</w:t>
            </w:r>
          </w:p>
        </w:tc>
        <w:tc>
          <w:tcPr>
            <w:tcW w:type="dxa" w:w="5138"/>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Warum das wichtig ist</w:t>
            </w:r>
          </w:p>
        </w:tc>
      </w:tr>
      <w:tr>
        <w:trPr>
          <w:cantSplit w:val="false"/>
        </w:trPr>
        <w:tc>
          <w:tcPr>
            <w:tcW w:type="dxa" w:w="4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Welche Kanzleisoftware genau, in welcher Version, welche Systemanforderungen</w:t>
            </w:r>
          </w:p>
        </w:tc>
        <w:tc>
          <w:tcPr>
            <w:tcW w:type="dxa" w:w="5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Bestimmt Prozessor, Arbeitsspeicher und Betriebssystem</w:t>
            </w:r>
          </w:p>
        </w:tc>
      </w:tr>
      <w:tr>
        <w:trPr>
          <w:cantSplit w:val="false"/>
        </w:trPr>
        <w:tc>
          <w:tcPr>
            <w:tcW w:type="dxa" w:w="4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Bildschirmgröße, Auflösung, Anschlussart</w:t>
            </w:r>
          </w:p>
        </w:tc>
        <w:tc>
          <w:tcPr>
            <w:tcW w:type="dxa" w:w="5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Zwei Bildschirme sind nicht gleich zwei Bildschirme</w:t>
            </w:r>
          </w:p>
        </w:tc>
      </w:tr>
      <w:tr>
        <w:trPr>
          <w:cantSplit w:val="false"/>
        </w:trPr>
        <w:tc>
          <w:tcPr>
            <w:tcW w:type="dxa" w:w="4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Art und Grad der Sehbehinderung von Frau Adam</w:t>
            </w:r>
          </w:p>
        </w:tc>
        <w:tc>
          <w:tcPr>
            <w:tcW w:type="dxa" w:w="5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Entscheidet zwischen großem Bildschirm, Vergrößerungssoftware, Braillezeile oder Kombination</w:t>
            </w:r>
          </w:p>
        </w:tc>
      </w:tr>
      <w:tr>
        <w:trPr>
          <w:cantSplit w:val="false"/>
        </w:trPr>
        <w:tc>
          <w:tcPr>
            <w:tcW w:type="dxa" w:w="4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Umgang mit den Altgeräten: Datenlöschung, Nachweis, Entsorgung oder Ankauf</w:t>
            </w:r>
          </w:p>
        </w:tc>
        <w:tc>
          <w:tcPr>
            <w:tcW w:type="dxa" w:w="5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Mandantendaten unterliegen besonderen Pflichten</w:t>
            </w:r>
          </w:p>
        </w:tc>
      </w:tr>
      <w:tr>
        <w:trPr>
          <w:cantSplit w:val="false"/>
        </w:trPr>
        <w:tc>
          <w:tcPr>
            <w:tcW w:type="dxa" w:w="4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Anforderungen an Lautstärke der Geräte im Großraum</w:t>
            </w:r>
          </w:p>
        </w:tc>
        <w:tc>
          <w:tcPr>
            <w:tcW w:type="dxa" w:w="5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Beeinflusst Gehäuse, Lüfter und Bauform</w:t>
            </w:r>
          </w:p>
        </w:tc>
      </w:tr>
      <w:tr>
        <w:trPr>
          <w:cantSplit w:val="false"/>
        </w:trPr>
        <w:tc>
          <w:tcPr>
            <w:tcW w:type="dxa" w:w="4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Druckvolumen, Farbe oder Schwarzweiß, Scannen, Vertraulichkeit</w:t>
            </w:r>
          </w:p>
        </w:tc>
        <w:tc>
          <w:tcPr>
            <w:tcW w:type="dxa" w:w="5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Bestimmt Gerätetyp und Standort</w:t>
            </w:r>
          </w:p>
        </w:tc>
      </w:tr>
      <w:tr>
        <w:trPr>
          <w:cantSplit w:val="false"/>
        </w:trPr>
        <w:tc>
          <w:tcPr>
            <w:tcW w:type="dxa" w:w="4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Ist der Betrag netto oder brutto gemeint</w:t>
            </w:r>
          </w:p>
        </w:tc>
        <w:tc>
          <w:tcPr>
            <w:tcW w:type="dxa" w:w="5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Rund 4.000 Euro Unterschied</w:t>
            </w:r>
          </w:p>
        </w:tc>
      </w:tr>
      <w:tr>
        <w:trPr>
          <w:cantSplit w:val="false"/>
        </w:trPr>
        <w:tc>
          <w:tcPr>
            <w:tcW w:type="dxa" w:w="4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Verfügbarkeitsanspruch: Was passiert bei Stromausfall in der Fristenphase</w:t>
            </w:r>
          </w:p>
        </w:tc>
        <w:tc>
          <w:tcPr>
            <w:tcW w:type="dxa" w:w="5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Führt zur Frage der unterbrechungsfreien Stromversorgung</w:t>
            </w:r>
          </w:p>
        </w:tc>
      </w:tr>
      <w:tr>
        <w:trPr>
          <w:cantSplit w:val="false"/>
        </w:trPr>
        <w:tc>
          <w:tcPr>
            <w:tcW w:type="dxa" w:w="4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Wer übernimmt die Datenübernahme von den Altgeräten</w:t>
            </w:r>
          </w:p>
        </w:tc>
        <w:tc>
          <w:tcPr>
            <w:tcW w:type="dxa" w:w="5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Aufwand und Termin</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1"/>
        <w:spacing w:after="130" w:before="300"/>
      </w:pPr>
      <w:r>
        <w:rPr>
          <w:rFonts w:ascii="Calibri" w:cs="Calibri" w:eastAsia="Calibri" w:hAnsi="Calibri"/>
          <w:b/>
          <w:bCs/>
          <w:i w:val="false"/>
          <w:iCs w:val="false"/>
          <w:color w:val="003366"/>
          <w:sz w:val="28"/>
          <w:szCs w:val="28"/>
        </w:rPr>
        <w:t xml:space="preserve">5  Der Auftrag im Verlauf des Moduls</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1200"/>
        <w:gridCol w:w="4000"/>
        <w:gridCol w:w="4438"/>
      </w:tblGrid>
      <w:tr>
        <w:trPr>
          <w:tblHeader/>
        </w:trPr>
        <w:tc>
          <w:tcPr>
            <w:tcW w:type="dxa" w:w="12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LE</w:t>
            </w:r>
          </w:p>
        </w:tc>
        <w:tc>
          <w:tcPr>
            <w:tcW w:type="dxa" w:w="40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Was Sie tun</w:t>
            </w:r>
          </w:p>
        </w:tc>
        <w:tc>
          <w:tcPr>
            <w:tcW w:type="dxa" w:w="4438"/>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Ihr Ergebnis</w:t>
            </w:r>
          </w:p>
        </w:tc>
      </w:tr>
      <w:tr>
        <w:trPr>
          <w:cantSplit w:val="false"/>
        </w:trPr>
        <w:tc>
          <w:tcPr>
            <w:tcW w:type="dxa" w:w="12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01</w:t>
            </w:r>
          </w:p>
        </w:tc>
        <w:tc>
          <w:tcPr>
            <w:tcW w:type="dxa" w:w="4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Bedarf klären, Anforderungen ableiten</w:t>
            </w:r>
          </w:p>
        </w:tc>
        <w:tc>
          <w:tcPr>
            <w:tcW w:type="dxa" w:w="44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Lastenheft</w:t>
            </w:r>
          </w:p>
        </w:tc>
      </w:tr>
      <w:tr>
        <w:trPr>
          <w:cantSplit w:val="false"/>
        </w:trPr>
        <w:tc>
          <w:tcPr>
            <w:tcW w:type="dxa" w:w="12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02</w:t>
            </w:r>
          </w:p>
        </w:tc>
        <w:tc>
          <w:tcPr>
            <w:tcW w:type="dxa" w:w="4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Komponenten und Kenngrößen bestimmen</w:t>
            </w:r>
          </w:p>
        </w:tc>
        <w:tc>
          <w:tcPr>
            <w:tcW w:type="dxa" w:w="44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Konfigurationsentwurf</w:t>
            </w:r>
          </w:p>
        </w:tc>
      </w:tr>
      <w:tr>
        <w:trPr>
          <w:cantSplit w:val="false"/>
        </w:trPr>
        <w:tc>
          <w:tcPr>
            <w:tcW w:type="dxa" w:w="12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03</w:t>
            </w:r>
          </w:p>
        </w:tc>
        <w:tc>
          <w:tcPr>
            <w:tcW w:type="dxa" w:w="4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Software und Lizenzen festlegen</w:t>
            </w:r>
          </w:p>
        </w:tc>
        <w:tc>
          <w:tcPr>
            <w:tcW w:type="dxa" w:w="44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Lizenzübersicht</w:t>
            </w:r>
          </w:p>
        </w:tc>
      </w:tr>
      <w:tr>
        <w:trPr>
          <w:cantSplit w:val="false"/>
        </w:trPr>
        <w:tc>
          <w:tcPr>
            <w:tcW w:type="dxa" w:w="12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04</w:t>
            </w:r>
          </w:p>
        </w:tc>
        <w:tc>
          <w:tcPr>
            <w:tcW w:type="dxa" w:w="4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Ergonomie und Barrierefreiheit einplanen</w:t>
            </w:r>
          </w:p>
        </w:tc>
        <w:tc>
          <w:tcPr>
            <w:tcW w:type="dxa" w:w="44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Arbeitsplatzkonzept, Lösung für Frau Adam</w:t>
            </w:r>
          </w:p>
        </w:tc>
      </w:tr>
      <w:tr>
        <w:trPr>
          <w:cantSplit w:val="false"/>
        </w:trPr>
        <w:tc>
          <w:tcPr>
            <w:tcW w:type="dxa" w:w="12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05</w:t>
            </w:r>
          </w:p>
        </w:tc>
        <w:tc>
          <w:tcPr>
            <w:tcW w:type="dxa" w:w="4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Energiebedarf und Stromversorgung klären</w:t>
            </w:r>
          </w:p>
        </w:tc>
        <w:tc>
          <w:tcPr>
            <w:tcW w:type="dxa" w:w="44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Variantenvergleich, USV-Auslegung</w:t>
            </w:r>
          </w:p>
        </w:tc>
      </w:tr>
      <w:tr>
        <w:trPr>
          <w:cantSplit w:val="false"/>
        </w:trPr>
        <w:tc>
          <w:tcPr>
            <w:tcW w:type="dxa" w:w="12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06</w:t>
            </w:r>
          </w:p>
        </w:tc>
        <w:tc>
          <w:tcPr>
            <w:tcW w:type="dxa" w:w="4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Angebote einholen und bewerten</w:t>
            </w:r>
          </w:p>
        </w:tc>
        <w:tc>
          <w:tcPr>
            <w:tcW w:type="dxa" w:w="44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Nutzwertanalyse, Lieferantenentscheidung</w:t>
            </w:r>
          </w:p>
        </w:tc>
      </w:tr>
      <w:tr>
        <w:trPr>
          <w:cantSplit w:val="false"/>
        </w:trPr>
        <w:tc>
          <w:tcPr>
            <w:tcW w:type="dxa" w:w="12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07</w:t>
            </w:r>
          </w:p>
        </w:tc>
        <w:tc>
          <w:tcPr>
            <w:tcW w:type="dxa" w:w="4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Angebot kalkulieren</w:t>
            </w:r>
          </w:p>
        </w:tc>
        <w:tc>
          <w:tcPr>
            <w:tcW w:type="dxa" w:w="44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Verbindliches Angebot an den Kunden</w:t>
            </w:r>
          </w:p>
        </w:tc>
      </w:tr>
      <w:tr>
        <w:trPr>
          <w:cantSplit w:val="false"/>
        </w:trPr>
        <w:tc>
          <w:tcPr>
            <w:tcW w:type="dxa" w:w="12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08</w:t>
            </w:r>
          </w:p>
        </w:tc>
        <w:tc>
          <w:tcPr>
            <w:tcW w:type="dxa" w:w="4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Bestellen, Wareneingang prüfen</w:t>
            </w:r>
          </w:p>
        </w:tc>
        <w:tc>
          <w:tcPr>
            <w:tcW w:type="dxa" w:w="44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Bestellung, Wareneingangsprotokoll</w:t>
            </w:r>
          </w:p>
        </w:tc>
      </w:tr>
      <w:tr>
        <w:trPr>
          <w:cantSplit w:val="false"/>
        </w:trPr>
        <w:tc>
          <w:tcPr>
            <w:tcW w:type="dxa" w:w="12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09</w:t>
            </w:r>
          </w:p>
        </w:tc>
        <w:tc>
          <w:tcPr>
            <w:tcW w:type="dxa" w:w="4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Aufbauen, einrichten, prüfen, übergeben</w:t>
            </w:r>
          </w:p>
        </w:tc>
        <w:tc>
          <w:tcPr>
            <w:tcW w:type="dxa" w:w="44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Testprotokoll, Übergabeprotokoll</w:t>
            </w:r>
          </w:p>
        </w:tc>
      </w:tr>
      <w:tr>
        <w:trPr>
          <w:cantSplit w:val="false"/>
        </w:trPr>
        <w:tc>
          <w:tcPr>
            <w:tcW w:type="dxa" w:w="1200"/>
            <w:tcMar>
              <w:top w:type="dxa" w:w="70"/>
              <w:left w:type="dxa" w:w="120"/>
              <w:bottom w:type="dxa" w:w="70"/>
              <w:right w:type="dxa" w:w="120"/>
            </w:tcMar>
            <w:vAlign w:val="top"/>
          </w:tcPr>
          <w:p>
            <w:pPr>
              <w:spacing w:after="30" w:before="0"/>
              <w:jc w:val="center"/>
            </w:pPr>
            <w:r>
              <w:rPr>
                <w:rFonts w:ascii="Calibri" w:cs="Calibri" w:eastAsia="Calibri" w:hAnsi="Calibri"/>
                <w:b w:val="false"/>
                <w:bCs w:val="false"/>
                <w:i w:val="false"/>
                <w:iCs w:val="false"/>
                <w:color w:val="000000"/>
                <w:sz w:val="21"/>
                <w:szCs w:val="21"/>
              </w:rPr>
              <w:t xml:space="preserve">10</w:t>
            </w:r>
          </w:p>
        </w:tc>
        <w:tc>
          <w:tcPr>
            <w:tcW w:type="dxa" w:w="40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Auftrag auswerten</w:t>
            </w:r>
          </w:p>
        </w:tc>
        <w:tc>
          <w:tcPr>
            <w:tcW w:type="dxa" w:w="44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Nachkalkulation, Reflexion</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1"/>
        <w:spacing w:after="130" w:before="300"/>
      </w:pPr>
      <w:r>
        <w:rPr>
          <w:rFonts w:ascii="Calibri" w:cs="Calibri" w:eastAsia="Calibri" w:hAnsi="Calibri"/>
          <w:b/>
          <w:bCs/>
          <w:i w:val="false"/>
          <w:iCs w:val="false"/>
          <w:color w:val="003366"/>
          <w:sz w:val="28"/>
          <w:szCs w:val="28"/>
        </w:rPr>
        <w:t xml:space="preserve">6  Randbedingungen</w:t>
      </w:r>
    </w:p>
    <w:p>
      <w:pPr>
        <w:spacing w:after="40"/>
        <w:ind w:left="280" w:hanging="200"/>
      </w:pPr>
      <w:r>
        <w:rPr>
          <w:rFonts w:ascii="Calibri" w:cs="Calibri" w:eastAsia="Calibri" w:hAnsi="Calibri"/>
          <w:b w:val="false"/>
          <w:bCs w:val="false"/>
          <w:i w:val="false"/>
          <w:iCs w:val="false"/>
          <w:color w:val="000000"/>
          <w:sz w:val="21"/>
          <w:szCs w:val="21"/>
        </w:rPr>
        <w:t xml:space="preserve">– Fester Übergabetermin: 11. Mai. Der Termin ist kalendermäßig bestimmt und im Angebot verbindlich zu nennen.</w:t>
      </w:r>
    </w:p>
    <w:p>
      <w:pPr>
        <w:spacing w:after="40"/>
        <w:ind w:left="280" w:hanging="200"/>
      </w:pPr>
      <w:r>
        <w:rPr>
          <w:rFonts w:ascii="Calibri" w:cs="Calibri" w:eastAsia="Calibri" w:hAnsi="Calibri"/>
          <w:b w:val="false"/>
          <w:bCs w:val="false"/>
          <w:i w:val="false"/>
          <w:iCs w:val="false"/>
          <w:color w:val="000000"/>
          <w:sz w:val="21"/>
          <w:szCs w:val="21"/>
        </w:rPr>
        <w:t xml:space="preserve">– Der Kunde ist Kaufmann. Für Beschaffungen von KONTURA gilt damit die Untersuchungs- und Rügepflicht des Handelskaufs.</w:t>
      </w:r>
    </w:p>
    <w:p>
      <w:pPr>
        <w:spacing w:after="40"/>
        <w:ind w:left="280" w:hanging="200"/>
      </w:pPr>
      <w:r>
        <w:rPr>
          <w:rFonts w:ascii="Calibri" w:cs="Calibri" w:eastAsia="Calibri" w:hAnsi="Calibri"/>
          <w:b w:val="false"/>
          <w:bCs w:val="false"/>
          <w:i w:val="false"/>
          <w:iCs w:val="false"/>
          <w:color w:val="000000"/>
          <w:sz w:val="21"/>
          <w:szCs w:val="21"/>
        </w:rPr>
        <w:t xml:space="preserve">– Die Kanzlei verarbeitet personenbezogene Daten von Mandanten. Datenschutz ist kein Zusatzwunsch, sondern Pflicht.</w:t>
      </w:r>
    </w:p>
    <w:p>
      <w:pPr>
        <w:spacing w:after="40"/>
        <w:ind w:left="280" w:hanging="200"/>
      </w:pPr>
      <w:r>
        <w:rPr>
          <w:rFonts w:ascii="Calibri" w:cs="Calibri" w:eastAsia="Calibri" w:hAnsi="Calibri"/>
          <w:b w:val="false"/>
          <w:bCs w:val="false"/>
          <w:i w:val="false"/>
          <w:iCs w:val="false"/>
          <w:color w:val="000000"/>
          <w:sz w:val="21"/>
          <w:szCs w:val="21"/>
        </w:rPr>
        <w:t xml:space="preserve">– Altgeräte sind Elektroaltgeräte. Rücknahme und Entsorgung sind gesetzlich geregelt und gehören ins Angebot.</w:t>
      </w:r>
    </w:p>
    <w:p>
      <w:pPr>
        <w:spacing w:after="40"/>
        <w:ind w:left="280" w:hanging="200"/>
      </w:pPr>
      <w:r>
        <w:rPr>
          <w:rFonts w:ascii="Calibri" w:cs="Calibri" w:eastAsia="Calibri" w:hAnsi="Calibri"/>
          <w:b w:val="false"/>
          <w:bCs w:val="false"/>
          <w:i w:val="false"/>
          <w:iCs w:val="false"/>
          <w:color w:val="000000"/>
          <w:sz w:val="21"/>
          <w:szCs w:val="21"/>
        </w:rPr>
        <w:t xml:space="preserve">– KONTURA hat Rahmenverträge mit drei Distributoren. Sie holen in LE 06 drei Angebote ein.</w:t>
      </w:r>
    </w:p>
    <w:p>
      <w:pPr>
        <w:pBdr>
          <w:left w:val="single" w:color="F0A500" w:sz="18"/>
        </w:pBdr>
        <w:shd w:fill="FFF4DC" w:color="auto" w:val="clear"/>
        <w:spacing w:after="140" w:before="140"/>
        <w:ind w:left="200" w:right="100"/>
      </w:pPr>
      <w:r>
        <w:rPr>
          <w:rFonts w:ascii="Calibri" w:cs="Calibri" w:eastAsia="Calibri" w:hAnsi="Calibri"/>
          <w:b w:val="false"/>
          <w:bCs w:val="false"/>
          <w:i/>
          <w:iCs/>
          <w:color w:val="000000"/>
          <w:sz w:val="21"/>
          <w:szCs w:val="21"/>
        </w:rPr>
        <w:t xml:space="preserve">Alles, was nicht im Szenario steht, dürfen Sie plausibel annehmen — aber schreiben Sie jede Annahme auf und kennzeichnen Sie sie als solche. Unausgesprochene Annahmen sind die häufigste Ursache für Streit über den Leistungsumfang.</w:t>
      </w:r>
    </w:p>
    <w:sectPr>
      <w:headerReference w:type="default" r:id="rId7"/>
      <w:footerReference w:type="default" r:id="rId8"/>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b w:val="false"/>
        <w:bCs w:val="false"/>
        <w:i w:val="false"/>
        <w:iCs w:val="false"/>
        <w:color w:val="666666"/>
        <w:sz w:val="15"/>
        <w:szCs w:val="15"/>
      </w:rPr>
      <w:t xml:space="preserve">Stand: 10.08.2026  ·  Seite </w:t>
    </w:r>
    <w:r>
      <w:rPr>
        <w:rFonts w:ascii="Calibri" w:cs="Calibri" w:eastAsia="Calibri" w:hAnsi="Calibri"/>
        <w:color w:val="666666"/>
        <w:sz w:val="15"/>
        <w:szCs w:val="15"/>
      </w:rPr>
      <w:fldChar w:fldCharType="begin"/>
      <w:instrText xml:space="preserve">PAGE</w:instrText>
      <w:fldChar w:fldCharType="separate"/>
      <w:fldChar w:fldCharType="end"/>
    </w:r>
    <w:r>
      <w:rPr>
        <w:rFonts w:ascii="Calibri" w:cs="Calibri" w:eastAsia="Calibri" w:hAnsi="Calibri"/>
        <w:b w:val="false"/>
        <w:bCs w:val="false"/>
        <w:i w:val="false"/>
        <w:iCs w:val="false"/>
        <w:color w:val="666666"/>
        <w:sz w:val="15"/>
        <w:szCs w:val="15"/>
      </w:rPr>
      <w:t xml:space="preserve"> von </w:t>
    </w:r>
    <w:r>
      <w:rPr>
        <w:rFonts w:ascii="Calibri" w:cs="Calibri" w:eastAsia="Calibri" w:hAnsi="Calibri"/>
        <w:color w:val="66666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F0A500" w:sz="8"/>
      </w:pBdr>
      <w:spacing w:after="70"/>
    </w:pPr>
    <w:r>
      <w:rPr>
        <w:rFonts w:ascii="Calibri" w:cs="Calibri" w:eastAsia="Calibri" w:hAnsi="Calibri"/>
        <w:b/>
        <w:bCs/>
        <w:i w:val="false"/>
        <w:iCs w:val="false"/>
        <w:color w:val="003366"/>
        <w:sz w:val="16"/>
        <w:szCs w:val="16"/>
      </w:rPr>
      <w:t xml:space="preserve">bfw – Umschulung Fachinformatiker/-in  |  Modul B / LF 2  |  Rahmenszenario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Auftrag Steinbach &amp; Partner</dc:title>
  <dc:creator>bfw</dc:creator>
  <cp:lastModifiedBy>Un-named</cp:lastModifiedBy>
  <cp:revision>1</cp:revision>
  <dcterms:created xsi:type="dcterms:W3CDTF">2026-08-10T17:07:31.062Z</dcterms:created>
  <dcterms:modified xsi:type="dcterms:W3CDTF">2026-08-10T17:07:31.078Z</dcterms:modified>
</cp:coreProperties>
</file>

<file path=docProps/custom.xml><?xml version="1.0" encoding="utf-8"?>
<Properties xmlns="http://schemas.openxmlformats.org/officeDocument/2006/custom-properties" xmlns:vt="http://schemas.openxmlformats.org/officeDocument/2006/docPropsVTypes"/>
</file>