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i w:val="false"/>
          <w:iCs w:val="false"/>
          <w:color w:val="003366"/>
          <w:sz w:val="34"/>
          <w:szCs w:val="34"/>
        </w:rPr>
        <w:t xml:space="preserve">Abkürzungsverzeichnis Modul B</w:t>
      </w:r>
    </w:p>
    <w:p>
      <w:pPr>
        <w:spacing w:after="2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66AA"/>
          <w:sz w:val="22"/>
          <w:szCs w:val="22"/>
        </w:rPr>
        <w:t xml:space="preserve">Lernfeld 2 — Arbeitsplätze nach Kundenwunsch ausstatten</w:t>
      </w:r>
    </w:p>
    <w:p>
      <w:pPr>
        <w:pBdr>
          <w:left w:val="single" w:color="F0A500" w:sz="18"/>
        </w:pBdr>
        <w:shd w:fill="FFF4DC" w:color="auto" w:val="clear"/>
        <w:spacing w:after="140" w:before="140"/>
        <w:ind w:left="200" w:right="100"/>
      </w:pPr>
      <w:r>
        <w:rPr>
          <w:rFonts w:ascii="Calibri" w:cs="Calibri" w:eastAsia="Calibri" w:hAnsi="Calibri"/>
          <w:b w:val="false"/>
          <w:bCs w:val="false"/>
          <w:i/>
          <w:iCs/>
          <w:color w:val="000000"/>
          <w:sz w:val="21"/>
          <w:szCs w:val="21"/>
        </w:rPr>
        <w:t xml:space="preserve">Jede Abkürzung wird bei ihrem ersten Auftreten in den Unterrichtsmaterialien ausgeschrieben. Dieses Verzeichnis dient dem Nachschlagen und deckt alle Abkürzungen des Moduls ab.</w:t>
      </w:r>
    </w:p>
    <w:tbl>
      <w:tblPr>
        <w:tblW w:type="dxa" w:w="9638"/>
        <w:tblBorders>
          <w:top w:val="single" w:color="D6E4F0" w:sz="4"/>
          <w:left w:val="single" w:color="D6E4F0" w:sz="4"/>
          <w:bottom w:val="single" w:color="D6E4F0" w:sz="4"/>
          <w:right w:val="single" w:color="D6E4F0" w:sz="4"/>
          <w:insideH w:val="single" w:color="D6E4F0" w:sz="4"/>
          <w:insideV w:val="single" w:color="D6E4F0" w:sz="4"/>
        </w:tblBorders>
      </w:tblPr>
      <w:tblGrid>
        <w:gridCol w:w="2000"/>
        <w:gridCol w:w="7638"/>
      </w:tblGrid>
      <w:tr>
        <w:trPr>
          <w:tblHeader/>
        </w:trPr>
        <w:tc>
          <w:tcPr>
            <w:tcW w:type="dxa" w:w="2000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Abkürzung</w:t>
            </w:r>
          </w:p>
        </w:tc>
        <w:tc>
          <w:tcPr>
            <w:tcW w:type="dxa" w:w="7638"/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21"/>
                <w:szCs w:val="21"/>
              </w:rPr>
              <w:t xml:space="preserve">Bedeutung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APFS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Apple File System — Dateisystem von macOS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BIOS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Basic Input Output System — klassische Firmware zum Systemstart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CE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Communauté Européenne — Kennzeichnung der EU-Konformität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CPU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Central Processing Unit — Hauptprozessor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CRM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Customer Relationship Management — Kundenbeziehungsmanagement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DaaS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Desktop as a Service — Arbeitsplatz als Dienst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DDR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Double Data Rate — Bauart von Arbeitsspeicher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DIMM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Dual Inline Memory Module — Bauform von Speichermodulen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DIN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Deutsches Institut für Normung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DNS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Domain Name System — Namensauflösung im Netzwerk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EN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Europäische Norm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EPEAT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Electronic Product Environmental Assessment Tool — Umweltbewertung von IT-Produkten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ERP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Enterprise Resource Planning — Unternehmensressourcenplanung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ext4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Fourth Extended Filesystem — verbreitetes Dateisystem unter Linux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FAT32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File Allocation Table, 32 Bit — älteres Dateisystem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GPT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GUID Partition Table — Partitionsschema für große Datenträger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GS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Geprüfte Sicherheit — freiwilliges Prüfzeichen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HDD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Hard Disk Drive — Festplattenlaufwerk mit rotierenden Scheiben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HDMI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High Definition Multimedia Interface — Bildschirmanschluss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IEC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International Electrotechnical Commission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IP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Internet Protocol — Netzwerkprotokoll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ISO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International Organization for Standardization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KI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Künstliche Intelligenz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kWh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Kilowattstunde — Einheit der Energie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NTFS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New Technology File System — Dateisystem von Windows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NVMe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Non-Volatile Memory Express — Anbindung schneller SSDs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OEM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Original Equipment Manufacturer — hier: gerätegebundene Lizenz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RAM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Random Access Memory — Arbeitsspeicher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RoHS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Restriction of Hazardous Substances — Beschränkung gefährlicher Stoffe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SaaS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Software as a Service — Software als Dienst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SATA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Serial Advanced Technology Attachment — Anschluss für Datenträger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SCM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Supply Chain Management — Lieferkettenmanagement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SO-DIMM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Small Outline DIMM — kompakte Bauform von Speichermodulen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SSD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Solid State Drive — Datenträger ohne bewegliche Teile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TCO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Total Cost of Ownership — Gesamtkosten über die Nutzungsdauer; zugleich Name eines Nachhaltigkeitszertifikats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TDP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Thermal Design Power — Kennwert der Verlustleistung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TPM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Trusted Platform Module — Sicherheitsbaustein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UEFI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Unified Extensible Firmware Interface — Nachfolger des BIOS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USB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Universal Serial Bus — Schnittstellenstandard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USV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Unterbrechungsfreie Stromversorgung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VA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Voltampere — Einheit der Scheinleistung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VESA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Video Electronics Standards Association — hier: Norm für Bildschirmhalterungen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VFD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Voltage and Frequency Dependent — USV-Klasse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VFI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Voltage and Frequency Independent — USV-Klasse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VI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Voltage Independent — USV-Klasse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Watt — Einheit der Wirkleistung</w:t>
            </w:r>
          </w:p>
        </w:tc>
      </w:tr>
      <w:tr>
        <w:trPr>
          <w:cantSplit w:val="false"/>
        </w:trPr>
        <w:tc>
          <w:tcPr>
            <w:tcW w:type="dxa" w:w="2000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WEEE</w:t>
            </w:r>
          </w:p>
        </w:tc>
        <w:tc>
          <w:tcPr>
            <w:tcW w:type="dxa" w:w="7638"/>
            <w:tcMar>
              <w:top w:type="dxa" w:w="70"/>
              <w:left w:type="dxa" w:w="120"/>
              <w:bottom w:type="dxa" w:w="70"/>
              <w:right w:type="dxa" w:w="120"/>
            </w:tcMar>
            <w:vAlign w:val="top"/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21"/>
                <w:szCs w:val="21"/>
              </w:rPr>
              <w:t xml:space="preserve">Waste of Electrical and Electronic Equipment — europäische Richtlinie über Elektroaltgeräte</w:t>
            </w:r>
          </w:p>
        </w:tc>
      </w:tr>
    </w:tbl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000000"/>
          <w:sz w:val="21"/>
          <w:szCs w:val="21"/>
        </w:rPr>
        <w:t xml:space="preserve"/>
      </w:r>
    </w:p>
    <w:sectPr>
      <w:headerReference w:type="default" r:id="rId7"/>
      <w:footerReference w:type="default" r:id="rId8"/>
      <w:pgSz w:w="11906" w:h="16838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Stand: 10.08.2026  ·  Seite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b w:val="false"/>
        <w:bCs w:val="false"/>
        <w:i w:val="false"/>
        <w:iCs w:val="false"/>
        <w:color w:val="666666"/>
        <w:sz w:val="15"/>
        <w:szCs w:val="15"/>
      </w:rPr>
      <w:t xml:space="preserve"> von </w:t>
    </w:r>
    <w:r>
      <w:rPr>
        <w:rFonts w:ascii="Calibri" w:cs="Calibri" w:eastAsia="Calibri" w:hAnsi="Calibri"/>
        <w:color w:val="66666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F0A500" w:sz="8"/>
      </w:pBdr>
      <w:spacing w:after="70"/>
    </w:pPr>
    <w:r>
      <w:rPr>
        <w:rFonts w:ascii="Calibri" w:cs="Calibri" w:eastAsia="Calibri" w:hAnsi="Calibri"/>
        <w:b/>
        <w:bCs/>
        <w:i w:val="false"/>
        <w:iCs w:val="false"/>
        <w:color w:val="003366"/>
        <w:sz w:val="16"/>
        <w:szCs w:val="16"/>
      </w:rPr>
      <w:t xml:space="preserve">bfw – Umschulung Fachinformatiker/-in  |  Modul B / LF 2  |  Abkürzungsverzeichnis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Abkürzungsverzeichnis Modul B</dc:title>
  <dc:creator>bfw</dc:creator>
  <cp:lastModifiedBy>Un-named</cp:lastModifiedBy>
  <cp:revision>1</cp:revision>
  <dcterms:created xsi:type="dcterms:W3CDTF">2026-08-10T17:20:53.847Z</dcterms:created>
  <dcterms:modified xsi:type="dcterms:W3CDTF">2026-08-10T17:20:53.847Z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