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Bdr>
          <w:bottom w:val="single" w:color="F0A500" w:sz="12" w:space="4"/>
        </w:pBdr>
        <w:spacing w:after="200" w:before="120"/>
      </w:pPr>
      <w:r>
        <w:rPr>
          <w:rFonts w:ascii="Calibri" w:cs="Calibri" w:eastAsia="Calibri" w:hAnsi="Calibri"/>
          <w:b/>
          <w:bCs/>
          <w:color w:val="003366"/>
          <w:sz w:val="34"/>
          <w:szCs w:val="34"/>
        </w:rPr>
        <w:t xml:space="preserve">LE 09 – Das Marktumfeld des Betriebs</w:t>
      </w:r>
    </w:p>
    <w:p>
      <w:pPr>
        <w:spacing w:after="120"/>
      </w:pPr>
      <w:r>
        <w:rPr>
          <w:rFonts w:ascii="Calibri" w:cs="Calibri" w:eastAsia="Calibri" w:hAnsi="Calibri"/>
          <w:b/>
          <w:bCs/>
          <w:i w:val="false"/>
          <w:iCs w:val="false"/>
          <w:color w:val="0066AA"/>
          <w:sz w:val="22"/>
          <w:szCs w:val="22"/>
        </w:rPr>
        <w:t xml:space="preserve">Modul A – Der Betrieb und sein Umfeld · Lernfeld 1 · 10 Unterrichtseinheiten</w:t>
      </w:r>
    </w:p>
    <w:p>
      <w:pPr>
        <w:spacing w:after="120"/>
      </w:pPr>
      <w:r>
        <w:rPr>
          <w:rFonts w:ascii="Calibri" w:cs="Calibri" w:eastAsia="Calibri" w:hAnsi="Calibri"/>
          <w:b w:val="false"/>
          <w:bCs w:val="false"/>
          <w:i/>
          <w:iCs/>
          <w:color w:val="1A1A1A"/>
          <w:sz w:val="22"/>
          <w:szCs w:val="22"/>
        </w:rPr>
        <w:t xml:space="preserve">Handout zur Präsentation. Aufgabenblatt und Musterlösungen liegen separat bei.</w:t>
      </w:r>
    </w:p>
    <w:p>
      <w:pPr>
        <w:spacing w:after="120"/>
      </w:pPr>
      <w:r>
        <w:rPr>
          <w:rFonts w:ascii="Calibri" w:cs="Calibri" w:eastAsia="Calibri" w:hAnsi="Calibri"/>
          <w:b w:val="false"/>
          <w:bCs w:val="false"/>
          <w:i/>
          <w:iCs/>
          <w:color w:val="1A1A1A"/>
          <w:sz w:val="19"/>
          <w:szCs w:val="19"/>
        </w:rPr>
        <w:t xml:space="preserve">KONTURA IT-Solutions ist ein frei erfundenes Modellunternehmen. Ausschreibung, Angebotseinholung und Angebotsvergleich sind Beschaffungsthemen und werden in Modul B (LF2) behandelt.</w:t>
      </w:r>
    </w:p>
    <w:p>
      <w:pPr>
        <w:pStyle w:val="Heading2"/>
        <w:spacing w:after="120" w:before="280"/>
      </w:pPr>
      <w:r>
        <w:rPr>
          <w:rFonts w:ascii="Calibri" w:cs="Calibri" w:eastAsia="Calibri" w:hAnsi="Calibri"/>
          <w:b/>
          <w:bCs/>
          <w:color w:val="0066AA"/>
          <w:sz w:val="26"/>
          <w:szCs w:val="26"/>
        </w:rPr>
        <w:t xml:space="preserve">Lernziele</w:t>
      </w:r>
    </w:p>
    <w:p>
      <w:pPr>
        <w:pStyle w:val="ListParagraph"/>
        <w:numPr>
          <w:ilvl w:val="0"/>
          <w:numId w:val="2"/>
        </w:numPr>
        <w:spacing w:after="60"/>
      </w:pPr>
      <w:r>
        <w:rPr>
          <w:rFonts w:ascii="Calibri" w:cs="Calibri" w:eastAsia="Calibri" w:hAnsi="Calibri"/>
          <w:sz w:val="22"/>
          <w:szCs w:val="22"/>
        </w:rPr>
        <w:t xml:space="preserve">Den einfachen und den erweiterten Wirtschaftskreislauf darstellen.</w:t>
      </w:r>
    </w:p>
    <w:p>
      <w:pPr>
        <w:pStyle w:val="ListParagraph"/>
        <w:numPr>
          <w:ilvl w:val="0"/>
          <w:numId w:val="2"/>
        </w:numPr>
        <w:spacing w:after="60"/>
      </w:pPr>
      <w:r>
        <w:rPr>
          <w:rFonts w:ascii="Calibri" w:cs="Calibri" w:eastAsia="Calibri" w:hAnsi="Calibri"/>
          <w:sz w:val="22"/>
          <w:szCs w:val="22"/>
        </w:rPr>
        <w:t xml:space="preserve">Geldströme den Beteiligten zuordnen.</w:t>
      </w:r>
    </w:p>
    <w:p>
      <w:pPr>
        <w:pStyle w:val="ListParagraph"/>
        <w:numPr>
          <w:ilvl w:val="0"/>
          <w:numId w:val="2"/>
        </w:numPr>
        <w:spacing w:after="60"/>
      </w:pPr>
      <w:r>
        <w:rPr>
          <w:rFonts w:ascii="Calibri" w:cs="Calibri" w:eastAsia="Calibri" w:hAnsi="Calibri"/>
          <w:sz w:val="22"/>
          <w:szCs w:val="22"/>
        </w:rPr>
        <w:t xml:space="preserve">Marktarten und Transaktionsbereiche unterscheiden.</w:t>
      </w:r>
    </w:p>
    <w:p>
      <w:pPr>
        <w:pStyle w:val="ListParagraph"/>
        <w:numPr>
          <w:ilvl w:val="0"/>
          <w:numId w:val="2"/>
        </w:numPr>
        <w:spacing w:after="60"/>
      </w:pPr>
      <w:r>
        <w:rPr>
          <w:rFonts w:ascii="Calibri" w:cs="Calibri" w:eastAsia="Calibri" w:hAnsi="Calibri"/>
          <w:sz w:val="22"/>
          <w:szCs w:val="22"/>
        </w:rPr>
        <w:t xml:space="preserve">Die neun Marktformen bestimmen.</w:t>
      </w:r>
    </w:p>
    <w:p>
      <w:pPr>
        <w:pStyle w:val="ListParagraph"/>
        <w:numPr>
          <w:ilvl w:val="0"/>
          <w:numId w:val="2"/>
        </w:numPr>
        <w:spacing w:after="60"/>
      </w:pPr>
      <w:r>
        <w:rPr>
          <w:rFonts w:ascii="Calibri" w:cs="Calibri" w:eastAsia="Calibri" w:hAnsi="Calibri"/>
          <w:sz w:val="22"/>
          <w:szCs w:val="22"/>
        </w:rPr>
        <w:t xml:space="preserve">Die Preisbildung über Angebot und Nachfrage erklären.</w:t>
      </w:r>
    </w:p>
    <w:p>
      <w:pPr>
        <w:pStyle w:val="ListParagraph"/>
        <w:numPr>
          <w:ilvl w:val="0"/>
          <w:numId w:val="2"/>
        </w:numPr>
        <w:spacing w:after="60"/>
      </w:pPr>
      <w:r>
        <w:rPr>
          <w:rFonts w:ascii="Calibri" w:cs="Calibri" w:eastAsia="Calibri" w:hAnsi="Calibri"/>
          <w:sz w:val="22"/>
          <w:szCs w:val="22"/>
        </w:rPr>
        <w:t xml:space="preserve">Wettbewerbsstrategien und Marktsegmentierung anwenden.</w:t>
      </w:r>
    </w:p>
    <w:p>
      <w:pPr>
        <w:pStyle w:val="ListParagraph"/>
        <w:numPr>
          <w:ilvl w:val="0"/>
          <w:numId w:val="2"/>
        </w:numPr>
        <w:spacing w:after="60"/>
      </w:pPr>
      <w:r>
        <w:rPr>
          <w:rFonts w:ascii="Calibri" w:cs="Calibri" w:eastAsia="Calibri" w:hAnsi="Calibri"/>
          <w:sz w:val="22"/>
          <w:szCs w:val="22"/>
        </w:rPr>
        <w:t xml:space="preserve">Marktgrößen berechnen und die Marktsituation eines IT-Dienstleisters einschätzen.</w:t>
      </w:r>
    </w:p>
    <w:p>
      <w:pPr>
        <w:pStyle w:val="Heading2"/>
        <w:spacing w:after="120" w:before="280"/>
      </w:pPr>
      <w:r>
        <w:rPr>
          <w:rFonts w:ascii="Calibri" w:cs="Calibri" w:eastAsia="Calibri" w:hAnsi="Calibri"/>
          <w:b/>
          <w:bCs/>
          <w:color w:val="0066AA"/>
          <w:sz w:val="26"/>
          <w:szCs w:val="26"/>
        </w:rPr>
        <w:t xml:space="preserve">1 Der Wirtschaftskreislauf</w:t>
      </w:r>
    </w:p>
    <w:tbl>
      <w:tblPr>
        <w:tblW w:type="dxa" w:w="9020"/>
        <w:tblBorders>
          <w:top w:val="single" w:color="D6E4F0" w:sz="4"/>
          <w:left w:val="single" w:color="D6E4F0" w:sz="4"/>
          <w:bottom w:val="single" w:color="D6E4F0" w:sz="4"/>
          <w:right w:val="single" w:color="D6E4F0" w:sz="4"/>
          <w:insideH w:val="single" w:color="D6E4F0" w:sz="2"/>
          <w:insideV w:val="single" w:color="D6E4F0" w:sz="2"/>
        </w:tblBorders>
        <w:tblLayout w:type="fixed"/>
      </w:tblPr>
      <w:tblGrid>
        <w:gridCol w:w="2200"/>
        <w:gridCol w:w="2400"/>
        <w:gridCol w:w="4420"/>
      </w:tblGrid>
      <w:tr>
        <w:trPr>
          <w:tblHeader/>
        </w:trPr>
        <w:tc>
          <w:tcPr>
            <w:tcW w:type="dxa" w:w="22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Modell</w:t>
            </w:r>
          </w:p>
        </w:tc>
        <w:tc>
          <w:tcPr>
            <w:tcW w:type="dxa" w:w="24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Beteiligte</w:t>
            </w:r>
          </w:p>
        </w:tc>
        <w:tc>
          <w:tcPr>
            <w:tcW w:type="dxa" w:w="442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Ströme</w:t>
            </w:r>
          </w:p>
        </w:tc>
      </w:tr>
      <w:tr>
        <w:tc>
          <w:tcPr>
            <w:tcW w:type="dxa" w:w="22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Einfacher Kreislauf</w:t>
            </w:r>
          </w:p>
        </w:tc>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Haushalte und Unternehmen</w:t>
            </w:r>
          </w:p>
        </w:tc>
        <w:tc>
          <w:tcPr>
            <w:tcW w:type="dxa" w:w="44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Haushalte stellen Arbeit, Kapital und Boden bereit und erhalten Löhne, Zinsen und Mieten; Unternehmen liefern Güter und Dienstleistungen und erhalten Konsumausgaben</w:t>
            </w:r>
          </w:p>
        </w:tc>
      </w:tr>
      <w:tr>
        <w:tc>
          <w:tcPr>
            <w:tcW w:type="dxa" w:w="22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Erweiterter Kreislauf</w:t>
            </w:r>
          </w:p>
        </w:tc>
        <w:tc>
          <w:tcPr>
            <w:tcW w:type="dxa" w:w="2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zusätzlich Staat, Banken, Ausland</w:t>
            </w:r>
          </w:p>
        </w:tc>
        <w:tc>
          <w:tcPr>
            <w:tcW w:type="dxa" w:w="44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Steuern und Subventionen, öffentliche Aufträge und Sozialleistungen, Kredite, Zinsen und Spareinlagen, Exporte, Importe und Kapitalströme</w:t>
            </w:r>
          </w:p>
        </w:tc>
      </w:tr>
    </w:tbl>
    <w:p>
      <w:pPr>
        <w:spacing w:after="140"/>
      </w:pPr>
    </w:p>
    <w:tbl>
      <w:tblPr>
        <w:tblW w:type="dxa" w:w="9020"/>
        <w:tblBorders>
          <w:top w:val="none"/>
          <w:left w:val="single" w:color="003366" w:sz="18"/>
          <w:bottom w:val="none"/>
          <w:right w:val="none"/>
          <w:insideH w:val="none"/>
          <w:insideV w:val="none"/>
        </w:tblBorders>
        <w:tblLayout w:type="fixed"/>
      </w:tblPr>
      <w:tblGrid>
        <w:gridCol w:w="9020"/>
      </w:tblGrid>
      <w:tr>
        <w:tc>
          <w:tcPr>
            <w:tcW w:type="dxa" w:w="9020"/>
            <w:shd w:fill="D6E4F0" w:color="auto" w:val="clear"/>
            <w:tcMar>
              <w:top w:type="dxa" w:w="120"/>
              <w:left w:type="dxa" w:w="160"/>
              <w:bottom w:type="dxa" w:w="120"/>
              <w:right w:type="dxa" w:w="120"/>
            </w:tcMar>
          </w:tcPr>
          <w:p>
            <w:pPr>
              <w:spacing w:after="60"/>
            </w:pPr>
            <w:r>
              <w:rPr>
                <w:rFonts w:ascii="Calibri" w:cs="Calibri" w:eastAsia="Calibri" w:hAnsi="Calibri"/>
                <w:b/>
                <w:bCs/>
                <w:color w:val="003366"/>
                <w:sz w:val="21"/>
                <w:szCs w:val="21"/>
              </w:rPr>
              <w:t xml:space="preserve">Merke</w:t>
            </w:r>
          </w:p>
          <w:p>
            <w:pPr>
              <w:spacing w:after="40"/>
            </w:pPr>
            <w:r>
              <w:rPr>
                <w:rFonts w:ascii="Calibri" w:cs="Calibri" w:eastAsia="Calibri" w:hAnsi="Calibri"/>
                <w:sz w:val="21"/>
                <w:szCs w:val="21"/>
              </w:rPr>
              <w:t xml:space="preserve">Jedem Güterstrom steht ein Geldstrom in entgegengesetzter Richtung gegenüber. Wer einen Geldstrom zuordnen soll, fragt zuerst: Wer bekommt eine Leistung, wer bezahlt sie?</w:t>
            </w:r>
          </w:p>
        </w:tc>
      </w:tr>
    </w:tbl>
    <w:p>
      <w:pPr>
        <w:spacing w:after="140"/>
      </w:pPr>
    </w:p>
    <w:tbl>
      <w:tblPr>
        <w:tblW w:type="dxa" w:w="9020"/>
        <w:tblBorders>
          <w:top w:val="single" w:color="D6E4F0" w:sz="4"/>
          <w:left w:val="single" w:color="D6E4F0" w:sz="4"/>
          <w:bottom w:val="single" w:color="D6E4F0" w:sz="4"/>
          <w:right w:val="single" w:color="D6E4F0" w:sz="4"/>
          <w:insideH w:val="single" w:color="D6E4F0" w:sz="2"/>
          <w:insideV w:val="single" w:color="D6E4F0" w:sz="2"/>
        </w:tblBorders>
        <w:tblLayout w:type="fixed"/>
      </w:tblPr>
      <w:tblGrid>
        <w:gridCol w:w="1800"/>
        <w:gridCol w:w="3600"/>
        <w:gridCol w:w="3620"/>
      </w:tblGrid>
      <w:tr>
        <w:trPr>
          <w:tblHeader/>
        </w:trPr>
        <w:tc>
          <w:tcPr>
            <w:tcW w:type="dxa" w:w="18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Beteiligter</w:t>
            </w:r>
          </w:p>
        </w:tc>
        <w:tc>
          <w:tcPr>
            <w:tcW w:type="dxa" w:w="36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Erhält</w:t>
            </w:r>
          </w:p>
        </w:tc>
        <w:tc>
          <w:tcPr>
            <w:tcW w:type="dxa" w:w="362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Zahlt</w:t>
            </w:r>
          </w:p>
        </w:tc>
      </w:tr>
      <w:tr>
        <w:tc>
          <w:tcPr>
            <w:tcW w:type="dxa" w:w="18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Haushalte</w:t>
            </w:r>
          </w:p>
        </w:tc>
        <w:tc>
          <w:tcPr>
            <w:tcW w:type="dxa" w:w="36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Löhne, Zinsen, Mieten, Sozialleistungen</w:t>
            </w:r>
          </w:p>
        </w:tc>
        <w:tc>
          <w:tcPr>
            <w:tcW w:type="dxa" w:w="3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Konsumausgaben, Steuern, Sparbeträge</w:t>
            </w:r>
          </w:p>
        </w:tc>
      </w:tr>
      <w:tr>
        <w:tc>
          <w:tcPr>
            <w:tcW w:type="dxa" w:w="18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Unternehmen</w:t>
            </w:r>
          </w:p>
        </w:tc>
        <w:tc>
          <w:tcPr>
            <w:tcW w:type="dxa" w:w="36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Umsatzerlöse, Kredite, Subventionen</w:t>
            </w:r>
          </w:p>
        </w:tc>
        <w:tc>
          <w:tcPr>
            <w:tcW w:type="dxa" w:w="3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Löhne, Steuern, Zinsen, Vorleistungen</w:t>
            </w:r>
          </w:p>
        </w:tc>
      </w:tr>
      <w:tr>
        <w:tc>
          <w:tcPr>
            <w:tcW w:type="dxa" w:w="18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Staat</w:t>
            </w:r>
          </w:p>
        </w:tc>
        <w:tc>
          <w:tcPr>
            <w:tcW w:type="dxa" w:w="36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Steuern und Abgaben</w:t>
            </w:r>
          </w:p>
        </w:tc>
        <w:tc>
          <w:tcPr>
            <w:tcW w:type="dxa" w:w="3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Sozialleistungen, Subventionen, öffentliche Aufträge</w:t>
            </w:r>
          </w:p>
        </w:tc>
      </w:tr>
      <w:tr>
        <w:tc>
          <w:tcPr>
            <w:tcW w:type="dxa" w:w="18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Banken</w:t>
            </w:r>
          </w:p>
        </w:tc>
        <w:tc>
          <w:tcPr>
            <w:tcW w:type="dxa" w:w="36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Spareinlagen, Kreditzinsen</w:t>
            </w:r>
          </w:p>
        </w:tc>
        <w:tc>
          <w:tcPr>
            <w:tcW w:type="dxa" w:w="3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Kredite, Guthabenzinsen</w:t>
            </w:r>
          </w:p>
        </w:tc>
      </w:tr>
      <w:tr>
        <w:tc>
          <w:tcPr>
            <w:tcW w:type="dxa" w:w="18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Ausland</w:t>
            </w:r>
          </w:p>
        </w:tc>
        <w:tc>
          <w:tcPr>
            <w:tcW w:type="dxa" w:w="36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Zahlungen für Importe</w:t>
            </w:r>
          </w:p>
        </w:tc>
        <w:tc>
          <w:tcPr>
            <w:tcW w:type="dxa" w:w="3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Zahlungen für Exporte</w:t>
            </w:r>
          </w:p>
        </w:tc>
      </w:tr>
    </w:tbl>
    <w:p>
      <w:pPr>
        <w:spacing w:after="140"/>
      </w:pPr>
    </w:p>
    <w:p>
      <w:pPr>
        <w:pStyle w:val="Heading2"/>
        <w:spacing w:after="120" w:before="280"/>
      </w:pPr>
      <w:r>
        <w:rPr>
          <w:rFonts w:ascii="Calibri" w:cs="Calibri" w:eastAsia="Calibri" w:hAnsi="Calibri"/>
          <w:b/>
          <w:bCs/>
          <w:color w:val="0066AA"/>
          <w:sz w:val="26"/>
          <w:szCs w:val="26"/>
        </w:rPr>
        <w:t xml:space="preserve">2 Marktarten</w:t>
      </w:r>
    </w:p>
    <w:tbl>
      <w:tblPr>
        <w:tblW w:type="dxa" w:w="9020"/>
        <w:tblBorders>
          <w:top w:val="single" w:color="D6E4F0" w:sz="4"/>
          <w:left w:val="single" w:color="D6E4F0" w:sz="4"/>
          <w:bottom w:val="single" w:color="D6E4F0" w:sz="4"/>
          <w:right w:val="single" w:color="D6E4F0" w:sz="4"/>
          <w:insideH w:val="single" w:color="D6E4F0" w:sz="2"/>
          <w:insideV w:val="single" w:color="D6E4F0" w:sz="2"/>
        </w:tblBorders>
        <w:tblLayout w:type="fixed"/>
      </w:tblPr>
      <w:tblGrid>
        <w:gridCol w:w="2200"/>
        <w:gridCol w:w="3600"/>
        <w:gridCol w:w="3220"/>
      </w:tblGrid>
      <w:tr>
        <w:trPr>
          <w:tblHeader/>
        </w:trPr>
        <w:tc>
          <w:tcPr>
            <w:tcW w:type="dxa" w:w="22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Marktart</w:t>
            </w:r>
          </w:p>
        </w:tc>
        <w:tc>
          <w:tcPr>
            <w:tcW w:type="dxa" w:w="36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Merkmal</w:t>
            </w:r>
          </w:p>
        </w:tc>
        <w:tc>
          <w:tcPr>
            <w:tcW w:type="dxa" w:w="322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Beispiel</w:t>
            </w:r>
          </w:p>
        </w:tc>
      </w:tr>
      <w:tr>
        <w:tc>
          <w:tcPr>
            <w:tcW w:type="dxa" w:w="22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Freier Markt</w:t>
            </w:r>
          </w:p>
        </w:tc>
        <w:tc>
          <w:tcPr>
            <w:tcW w:type="dxa" w:w="36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Zugang für jeden</w:t>
            </w:r>
          </w:p>
        </w:tc>
        <w:tc>
          <w:tcPr>
            <w:tcW w:type="dxa" w:w="32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IT-Hardwaremarkt</w:t>
            </w:r>
          </w:p>
        </w:tc>
      </w:tr>
      <w:tr>
        <w:tc>
          <w:tcPr>
            <w:tcW w:type="dxa" w:w="22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Geschlossener Markt</w:t>
            </w:r>
          </w:p>
        </w:tc>
        <w:tc>
          <w:tcPr>
            <w:tcW w:type="dxa" w:w="36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Zugang beschränkt durch Zulassung oder Erlaubnis</w:t>
            </w:r>
          </w:p>
        </w:tc>
        <w:tc>
          <w:tcPr>
            <w:tcW w:type="dxa" w:w="32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Rüstungsgüter, Arzneimittel</w:t>
            </w:r>
          </w:p>
        </w:tc>
      </w:tr>
      <w:tr>
        <w:tc>
          <w:tcPr>
            <w:tcW w:type="dxa" w:w="22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Gütermarkt</w:t>
            </w:r>
          </w:p>
        </w:tc>
        <w:tc>
          <w:tcPr>
            <w:tcW w:type="dxa" w:w="36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Konsum- und Investitionsgüter</w:t>
            </w:r>
          </w:p>
        </w:tc>
        <w:tc>
          <w:tcPr>
            <w:tcW w:type="dxa" w:w="32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Software- und Servermarkt</w:t>
            </w:r>
          </w:p>
        </w:tc>
      </w:tr>
      <w:tr>
        <w:tc>
          <w:tcPr>
            <w:tcW w:type="dxa" w:w="22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Faktorenmarkt</w:t>
            </w:r>
          </w:p>
        </w:tc>
        <w:tc>
          <w:tcPr>
            <w:tcW w:type="dxa" w:w="36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Boden, Arbeit, Kapital</w:t>
            </w:r>
          </w:p>
        </w:tc>
        <w:tc>
          <w:tcPr>
            <w:tcW w:type="dxa" w:w="32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Arbeitsmarkt für IT-Fachkräfte, Finanzmarkt</w:t>
            </w:r>
          </w:p>
        </w:tc>
      </w:tr>
      <w:tr>
        <w:tc>
          <w:tcPr>
            <w:tcW w:type="dxa" w:w="22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Vollkommener Markt</w:t>
            </w:r>
          </w:p>
        </w:tc>
        <w:tc>
          <w:tcPr>
            <w:tcW w:type="dxa" w:w="36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Modellannahme: homogene Güter, vollständige Transparenz, keine Präferenzen, sofortige Reaktion</w:t>
            </w:r>
          </w:p>
        </w:tc>
        <w:tc>
          <w:tcPr>
            <w:tcW w:type="dxa" w:w="32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Nur als Modell, näherungsweise die Börse</w:t>
            </w:r>
          </w:p>
        </w:tc>
      </w:tr>
      <w:tr>
        <w:tc>
          <w:tcPr>
            <w:tcW w:type="dxa" w:w="22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Unvollkommener Markt</w:t>
            </w:r>
          </w:p>
        </w:tc>
        <w:tc>
          <w:tcPr>
            <w:tcW w:type="dxa" w:w="36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Mindestens ein Kriterium ist nicht erfüllt</w:t>
            </w:r>
          </w:p>
        </w:tc>
        <w:tc>
          <w:tcPr>
            <w:tcW w:type="dxa" w:w="32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IT-Dienstleistungsmarkt</w:t>
            </w:r>
          </w:p>
        </w:tc>
      </w:tr>
    </w:tbl>
    <w:p>
      <w:pPr>
        <w:spacing w:after="140"/>
      </w:pPr>
    </w:p>
    <w:p>
      <w:pPr>
        <w:spacing w:after="120"/>
      </w:pPr>
      <w:r>
        <w:rPr>
          <w:rFonts w:ascii="Calibri" w:cs="Calibri" w:eastAsia="Calibri" w:hAnsi="Calibri"/>
          <w:b w:val="false"/>
          <w:bCs w:val="false"/>
          <w:i w:val="false"/>
          <w:iCs w:val="false"/>
          <w:color w:val="1A1A1A"/>
          <w:sz w:val="22"/>
          <w:szCs w:val="22"/>
        </w:rPr>
        <w:t xml:space="preserve">Der IT-Dienstleistungsmarkt ist ein unvollkommener Markt: Leistungen sind nicht homogen, Kunden haben Präferenzen für bekannte Partner, und die Markttransparenz ist gering, weil Beratungsleistung schwer vergleichbar ist. Genau darin liegt der Handlungsspielraum eines Systemhauses.</w:t>
      </w:r>
    </w:p>
    <w:p>
      <w:pPr>
        <w:pStyle w:val="Heading3"/>
        <w:spacing w:after="80" w:before="200"/>
      </w:pPr>
      <w:r>
        <w:rPr>
          <w:rFonts w:ascii="Calibri" w:cs="Calibri" w:eastAsia="Calibri" w:hAnsi="Calibri"/>
          <w:b/>
          <w:bCs/>
          <w:color w:val="003366"/>
          <w:sz w:val="23"/>
          <w:szCs w:val="23"/>
        </w:rPr>
        <w:t xml:space="preserve">2.1 Transaktionsbereiche im E-Commerce</w:t>
      </w:r>
    </w:p>
    <w:tbl>
      <w:tblPr>
        <w:tblW w:type="dxa" w:w="9020"/>
        <w:tblBorders>
          <w:top w:val="single" w:color="D6E4F0" w:sz="4"/>
          <w:left w:val="single" w:color="D6E4F0" w:sz="4"/>
          <w:bottom w:val="single" w:color="D6E4F0" w:sz="4"/>
          <w:right w:val="single" w:color="D6E4F0" w:sz="4"/>
          <w:insideH w:val="single" w:color="D6E4F0" w:sz="2"/>
          <w:insideV w:val="single" w:color="D6E4F0" w:sz="2"/>
        </w:tblBorders>
        <w:tblLayout w:type="fixed"/>
      </w:tblPr>
      <w:tblGrid>
        <w:gridCol w:w="1800"/>
        <w:gridCol w:w="3400"/>
        <w:gridCol w:w="3820"/>
      </w:tblGrid>
      <w:tr>
        <w:trPr>
          <w:tblHeader/>
        </w:trPr>
        <w:tc>
          <w:tcPr>
            <w:tcW w:type="dxa" w:w="18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Bereich</w:t>
            </w:r>
          </w:p>
        </w:tc>
        <w:tc>
          <w:tcPr>
            <w:tcW w:type="dxa" w:w="34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Richtung</w:t>
            </w:r>
          </w:p>
        </w:tc>
        <w:tc>
          <w:tcPr>
            <w:tcW w:type="dxa" w:w="382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Beispiel</w:t>
            </w:r>
          </w:p>
        </w:tc>
      </w:tr>
      <w:tr>
        <w:tc>
          <w:tcPr>
            <w:tcW w:type="dxa" w:w="18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B2B</w:t>
            </w:r>
          </w:p>
        </w:tc>
        <w:tc>
          <w:tcPr>
            <w:tcW w:type="dxa" w:w="3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Unternehmen an Unternehmen</w:t>
            </w:r>
          </w:p>
        </w:tc>
        <w:tc>
          <w:tcPr>
            <w:tcW w:type="dxa" w:w="38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Systemhaus beliefert einen Industriekunden</w:t>
            </w:r>
          </w:p>
        </w:tc>
      </w:tr>
      <w:tr>
        <w:tc>
          <w:tcPr>
            <w:tcW w:type="dxa" w:w="18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B2C</w:t>
            </w:r>
          </w:p>
        </w:tc>
        <w:tc>
          <w:tcPr>
            <w:tcW w:type="dxa" w:w="3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Unternehmen an Verbraucher</w:t>
            </w:r>
          </w:p>
        </w:tc>
        <w:tc>
          <w:tcPr>
            <w:tcW w:type="dxa" w:w="38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Online-Shop</w:t>
            </w:r>
          </w:p>
        </w:tc>
      </w:tr>
      <w:tr>
        <w:tc>
          <w:tcPr>
            <w:tcW w:type="dxa" w:w="18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B2A</w:t>
            </w:r>
          </w:p>
        </w:tc>
        <w:tc>
          <w:tcPr>
            <w:tcW w:type="dxa" w:w="3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Unternehmen an Verwaltung</w:t>
            </w:r>
          </w:p>
        </w:tc>
        <w:tc>
          <w:tcPr>
            <w:tcW w:type="dxa" w:w="38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Elektronische Steuererklärung, E-Rechnung an Behörden</w:t>
            </w:r>
          </w:p>
        </w:tc>
      </w:tr>
      <w:tr>
        <w:tc>
          <w:tcPr>
            <w:tcW w:type="dxa" w:w="18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C2C</w:t>
            </w:r>
          </w:p>
        </w:tc>
        <w:tc>
          <w:tcPr>
            <w:tcW w:type="dxa" w:w="3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Verbraucher an Verbraucher</w:t>
            </w:r>
          </w:p>
        </w:tc>
        <w:tc>
          <w:tcPr>
            <w:tcW w:type="dxa" w:w="38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Gebrauchtwarenplattform</w:t>
            </w:r>
          </w:p>
        </w:tc>
      </w:tr>
      <w:tr>
        <w:tc>
          <w:tcPr>
            <w:tcW w:type="dxa" w:w="18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C2B</w:t>
            </w:r>
          </w:p>
        </w:tc>
        <w:tc>
          <w:tcPr>
            <w:tcW w:type="dxa" w:w="3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Verbraucher an Unternehmen</w:t>
            </w:r>
          </w:p>
        </w:tc>
        <w:tc>
          <w:tcPr>
            <w:tcW w:type="dxa" w:w="38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Freelancer bietet seine Leistung an</w:t>
            </w:r>
          </w:p>
        </w:tc>
      </w:tr>
      <w:tr>
        <w:tc>
          <w:tcPr>
            <w:tcW w:type="dxa" w:w="18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C2A</w:t>
            </w:r>
          </w:p>
        </w:tc>
        <w:tc>
          <w:tcPr>
            <w:tcW w:type="dxa" w:w="3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Verbraucher an Verwaltung</w:t>
            </w:r>
          </w:p>
        </w:tc>
        <w:tc>
          <w:tcPr>
            <w:tcW w:type="dxa" w:w="38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Online-Behördengang</w:t>
            </w:r>
          </w:p>
        </w:tc>
      </w:tr>
      <w:tr>
        <w:tc>
          <w:tcPr>
            <w:tcW w:type="dxa" w:w="18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A2B / A2C / A2A</w:t>
            </w:r>
          </w:p>
        </w:tc>
        <w:tc>
          <w:tcPr>
            <w:tcW w:type="dxa" w:w="3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Verwaltung an Unternehmen, Verbraucher oder Verwaltung</w:t>
            </w:r>
          </w:p>
        </w:tc>
        <w:tc>
          <w:tcPr>
            <w:tcW w:type="dxa" w:w="38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Vergabeportale, E-Government, Datenaustausch zwischen Behörden</w:t>
            </w:r>
          </w:p>
        </w:tc>
      </w:tr>
    </w:tbl>
    <w:p>
      <w:pPr>
        <w:spacing w:after="140"/>
      </w:pPr>
    </w:p>
    <w:p>
      <w:pPr>
        <w:pStyle w:val="Heading2"/>
        <w:spacing w:after="120" w:before="280"/>
      </w:pPr>
      <w:r>
        <w:rPr>
          <w:rFonts w:ascii="Calibri" w:cs="Calibri" w:eastAsia="Calibri" w:hAnsi="Calibri"/>
          <w:b/>
          <w:bCs/>
          <w:color w:val="0066AA"/>
          <w:sz w:val="26"/>
          <w:szCs w:val="26"/>
        </w:rPr>
        <w:t xml:space="preserve">3 Marktformen</w:t>
      </w:r>
    </w:p>
    <w:tbl>
      <w:tblPr>
        <w:tblW w:type="dxa" w:w="9020"/>
        <w:tblBorders>
          <w:top w:val="single" w:color="D6E4F0" w:sz="4"/>
          <w:left w:val="single" w:color="D6E4F0" w:sz="4"/>
          <w:bottom w:val="single" w:color="D6E4F0" w:sz="4"/>
          <w:right w:val="single" w:color="D6E4F0" w:sz="4"/>
          <w:insideH w:val="single" w:color="D6E4F0" w:sz="2"/>
          <w:insideV w:val="single" w:color="D6E4F0" w:sz="2"/>
        </w:tblBorders>
        <w:tblLayout w:type="fixed"/>
      </w:tblPr>
      <w:tblGrid>
        <w:gridCol w:w="2300"/>
        <w:gridCol w:w="2300"/>
        <w:gridCol w:w="2300"/>
        <w:gridCol w:w="2120"/>
      </w:tblGrid>
      <w:tr>
        <w:trPr>
          <w:tblHeader/>
        </w:trPr>
        <w:tc>
          <w:tcPr>
            <w:tcW w:type="dxa" w:w="23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Anbieter \ Nachfrager</w:t>
            </w:r>
          </w:p>
        </w:tc>
        <w:tc>
          <w:tcPr>
            <w:tcW w:type="dxa" w:w="23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viele Nachfrager</w:t>
            </w:r>
          </w:p>
        </w:tc>
        <w:tc>
          <w:tcPr>
            <w:tcW w:type="dxa" w:w="23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wenige Nachfrager</w:t>
            </w:r>
          </w:p>
        </w:tc>
        <w:tc>
          <w:tcPr>
            <w:tcW w:type="dxa" w:w="212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ein Nachfrager</w:t>
            </w:r>
          </w:p>
        </w:tc>
      </w:tr>
      <w:tr>
        <w:tc>
          <w:tcPr>
            <w:tcW w:type="dxa" w:w="23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viele Anbieter</w:t>
            </w:r>
          </w:p>
        </w:tc>
        <w:tc>
          <w:tcPr>
            <w:tcW w:type="dxa" w:w="23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Polypol</w:t>
            </w:r>
          </w:p>
        </w:tc>
        <w:tc>
          <w:tcPr>
            <w:tcW w:type="dxa" w:w="23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Nachfrageoligopol</w:t>
            </w:r>
          </w:p>
        </w:tc>
        <w:tc>
          <w:tcPr>
            <w:tcW w:type="dxa" w:w="21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Nachfragemonopol</w:t>
            </w:r>
          </w:p>
        </w:tc>
      </w:tr>
      <w:tr>
        <w:tc>
          <w:tcPr>
            <w:tcW w:type="dxa" w:w="23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wenige Anbieter</w:t>
            </w:r>
          </w:p>
        </w:tc>
        <w:tc>
          <w:tcPr>
            <w:tcW w:type="dxa" w:w="23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Angebotsoligopol</w:t>
            </w:r>
          </w:p>
        </w:tc>
        <w:tc>
          <w:tcPr>
            <w:tcW w:type="dxa" w:w="23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zweiseitiges Oligopol</w:t>
            </w:r>
          </w:p>
        </w:tc>
        <w:tc>
          <w:tcPr>
            <w:tcW w:type="dxa" w:w="21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beschränktes Nachfragemonopol</w:t>
            </w:r>
          </w:p>
        </w:tc>
      </w:tr>
      <w:tr>
        <w:tc>
          <w:tcPr>
            <w:tcW w:type="dxa" w:w="23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ein Anbieter</w:t>
            </w:r>
          </w:p>
        </w:tc>
        <w:tc>
          <w:tcPr>
            <w:tcW w:type="dxa" w:w="23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Angebotsmonopol</w:t>
            </w:r>
          </w:p>
        </w:tc>
        <w:tc>
          <w:tcPr>
            <w:tcW w:type="dxa" w:w="23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beschränktes Angebotsmonopol</w:t>
            </w:r>
          </w:p>
        </w:tc>
        <w:tc>
          <w:tcPr>
            <w:tcW w:type="dxa" w:w="21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zweiseitiges Monopol</w:t>
            </w:r>
          </w:p>
        </w:tc>
      </w:tr>
    </w:tbl>
    <w:p>
      <w:pPr>
        <w:spacing w:after="140"/>
      </w:pPr>
    </w:p>
    <w:p>
      <w:pPr>
        <w:pStyle w:val="ListParagraph"/>
        <w:numPr>
          <w:ilvl w:val="0"/>
          <w:numId w:val="2"/>
        </w:numPr>
        <w:spacing w:after="60"/>
      </w:pPr>
      <w:r>
        <w:rPr>
          <w:rFonts w:ascii="Calibri" w:cs="Calibri" w:eastAsia="Calibri" w:hAnsi="Calibri"/>
          <w:sz w:val="22"/>
          <w:szCs w:val="22"/>
        </w:rPr>
        <w:t xml:space="preserve">Polypol: viele Anbieter und viele Nachfrager, niemand kann den Preis allein beeinflussen (Lebensmittelmarkt).</w:t>
      </w:r>
    </w:p>
    <w:p>
      <w:pPr>
        <w:pStyle w:val="ListParagraph"/>
        <w:numPr>
          <w:ilvl w:val="0"/>
          <w:numId w:val="2"/>
        </w:numPr>
        <w:spacing w:after="60"/>
      </w:pPr>
      <w:r>
        <w:rPr>
          <w:rFonts w:ascii="Calibri" w:cs="Calibri" w:eastAsia="Calibri" w:hAnsi="Calibri"/>
          <w:sz w:val="22"/>
          <w:szCs w:val="22"/>
        </w:rPr>
        <w:t xml:space="preserve">Angebotsoligopol: wenige Anbieter, viele Nachfrager (Mobilfunkmarkt).</w:t>
      </w:r>
    </w:p>
    <w:p>
      <w:pPr>
        <w:pStyle w:val="ListParagraph"/>
        <w:numPr>
          <w:ilvl w:val="0"/>
          <w:numId w:val="2"/>
        </w:numPr>
        <w:spacing w:after="60"/>
      </w:pPr>
      <w:r>
        <w:rPr>
          <w:rFonts w:ascii="Calibri" w:cs="Calibri" w:eastAsia="Calibri" w:hAnsi="Calibri"/>
          <w:sz w:val="22"/>
          <w:szCs w:val="22"/>
        </w:rPr>
        <w:t xml:space="preserve">Nachfrageoligopol: viele Anbieter, wenige Nachfrager (Automobilzulieferer).</w:t>
      </w:r>
    </w:p>
    <w:p>
      <w:pPr>
        <w:pStyle w:val="ListParagraph"/>
        <w:numPr>
          <w:ilvl w:val="0"/>
          <w:numId w:val="2"/>
        </w:numPr>
        <w:spacing w:after="60"/>
      </w:pPr>
      <w:r>
        <w:rPr>
          <w:rFonts w:ascii="Calibri" w:cs="Calibri" w:eastAsia="Calibri" w:hAnsi="Calibri"/>
          <w:sz w:val="22"/>
          <w:szCs w:val="22"/>
        </w:rPr>
        <w:t xml:space="preserve">Angebotsmonopol: ein Anbieter mit Preissetzungsmacht (lokaler Wasserversorger).</w:t>
      </w:r>
    </w:p>
    <w:p>
      <w:pPr>
        <w:pStyle w:val="ListParagraph"/>
        <w:numPr>
          <w:ilvl w:val="0"/>
          <w:numId w:val="2"/>
        </w:numPr>
        <w:spacing w:after="60"/>
      </w:pPr>
      <w:r>
        <w:rPr>
          <w:rFonts w:ascii="Calibri" w:cs="Calibri" w:eastAsia="Calibri" w:hAnsi="Calibri"/>
          <w:sz w:val="22"/>
          <w:szCs w:val="22"/>
        </w:rPr>
        <w:t xml:space="preserve">Nachfragemonopol: ein Nachfrager, etwa der Staat bei bestimmten Rüstungsgütern.</w:t>
      </w:r>
    </w:p>
    <w:p>
      <w:pPr>
        <w:pStyle w:val="Heading2"/>
        <w:spacing w:after="120" w:before="280"/>
      </w:pPr>
      <w:r>
        <w:rPr>
          <w:rFonts w:ascii="Calibri" w:cs="Calibri" w:eastAsia="Calibri" w:hAnsi="Calibri"/>
          <w:b/>
          <w:bCs/>
          <w:color w:val="0066AA"/>
          <w:sz w:val="26"/>
          <w:szCs w:val="26"/>
        </w:rPr>
        <w:t xml:space="preserve">4 Preisbildung</w:t>
      </w:r>
    </w:p>
    <w:p>
      <w:pPr>
        <w:spacing w:after="120"/>
      </w:pPr>
      <w:r>
        <w:rPr>
          <w:rFonts w:ascii="Calibri" w:cs="Calibri" w:eastAsia="Calibri" w:hAnsi="Calibri"/>
          <w:b w:val="false"/>
          <w:bCs w:val="false"/>
          <w:i w:val="false"/>
          <w:iCs w:val="false"/>
          <w:color w:val="1A1A1A"/>
          <w:sz w:val="22"/>
          <w:szCs w:val="22"/>
        </w:rPr>
        <w:t xml:space="preserve">Im Marktmodell steigt die angebotene Menge mit dem Preis, die nachgefragte Menge sinkt mit dem Preis. Der Schnittpunkt beider Kurven ist das Marktgleichgewicht mit Gleichgewichtspreis und Gleichgewichtsmenge.</w:t>
      </w:r>
    </w:p>
    <w:tbl>
      <w:tblPr>
        <w:tblW w:type="dxa" w:w="9020"/>
        <w:tblBorders>
          <w:top w:val="single" w:color="D6E4F0" w:sz="4"/>
          <w:left w:val="single" w:color="D6E4F0" w:sz="4"/>
          <w:bottom w:val="single" w:color="D6E4F0" w:sz="4"/>
          <w:right w:val="single" w:color="D6E4F0" w:sz="4"/>
          <w:insideH w:val="single" w:color="D6E4F0" w:sz="2"/>
          <w:insideV w:val="single" w:color="D6E4F0" w:sz="2"/>
        </w:tblBorders>
        <w:tblLayout w:type="fixed"/>
      </w:tblPr>
      <w:tblGrid>
        <w:gridCol w:w="3200"/>
        <w:gridCol w:w="5820"/>
      </w:tblGrid>
      <w:tr>
        <w:trPr>
          <w:tblHeader/>
        </w:trPr>
        <w:tc>
          <w:tcPr>
            <w:tcW w:type="dxa" w:w="32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Situation</w:t>
            </w:r>
          </w:p>
        </w:tc>
        <w:tc>
          <w:tcPr>
            <w:tcW w:type="dxa" w:w="582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Folge</w:t>
            </w:r>
          </w:p>
        </w:tc>
      </w:tr>
      <w:tr>
        <w:tc>
          <w:tcPr>
            <w:tcW w:type="dxa" w:w="32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Preis über dem Gleichgewichtspreis</w:t>
            </w:r>
          </w:p>
        </w:tc>
        <w:tc>
          <w:tcPr>
            <w:tcW w:type="dxa" w:w="58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Angebotsüberhang: mehr Angebot als Nachfrage, Preisdruck nach unten</w:t>
            </w:r>
          </w:p>
        </w:tc>
      </w:tr>
      <w:tr>
        <w:tc>
          <w:tcPr>
            <w:tcW w:type="dxa" w:w="32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Preis unter dem Gleichgewichtspreis</w:t>
            </w:r>
          </w:p>
        </w:tc>
        <w:tc>
          <w:tcPr>
            <w:tcW w:type="dxa" w:w="58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Nachfrageüberhang: Knappheit, Preisdruck nach oben</w:t>
            </w:r>
          </w:p>
        </w:tc>
      </w:tr>
      <w:tr>
        <w:tc>
          <w:tcPr>
            <w:tcW w:type="dxa" w:w="32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Nachfrage steigt</w:t>
            </w:r>
          </w:p>
        </w:tc>
        <w:tc>
          <w:tcPr>
            <w:tcW w:type="dxa" w:w="58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Nachfragekurve verschiebt sich nach rechts: höherer Preis, größere Menge</w:t>
            </w:r>
          </w:p>
        </w:tc>
      </w:tr>
      <w:tr>
        <w:tc>
          <w:tcPr>
            <w:tcW w:type="dxa" w:w="32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Nachfrage sinkt</w:t>
            </w:r>
          </w:p>
        </w:tc>
        <w:tc>
          <w:tcPr>
            <w:tcW w:type="dxa" w:w="58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Niedrigerer Preis, kleinere Menge</w:t>
            </w:r>
          </w:p>
        </w:tc>
      </w:tr>
      <w:tr>
        <w:tc>
          <w:tcPr>
            <w:tcW w:type="dxa" w:w="32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Angebot steigt</w:t>
            </w:r>
          </w:p>
        </w:tc>
        <w:tc>
          <w:tcPr>
            <w:tcW w:type="dxa" w:w="58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Angebotskurve verschiebt sich nach rechts: niedrigerer Preis, größere Menge</w:t>
            </w:r>
          </w:p>
        </w:tc>
      </w:tr>
      <w:tr>
        <w:tc>
          <w:tcPr>
            <w:tcW w:type="dxa" w:w="32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Angebot sinkt</w:t>
            </w:r>
          </w:p>
        </w:tc>
        <w:tc>
          <w:tcPr>
            <w:tcW w:type="dxa" w:w="58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Höherer Preis, kleinere Menge</w:t>
            </w:r>
          </w:p>
        </w:tc>
      </w:tr>
    </w:tbl>
    <w:p>
      <w:pPr>
        <w:spacing w:after="140"/>
      </w:pPr>
    </w:p>
    <w:tbl>
      <w:tblPr>
        <w:tblW w:type="dxa" w:w="9020"/>
        <w:tblBorders>
          <w:top w:val="none"/>
          <w:left w:val="single" w:color="F0A500" w:sz="18"/>
          <w:bottom w:val="none"/>
          <w:right w:val="none"/>
          <w:insideH w:val="none"/>
          <w:insideV w:val="none"/>
        </w:tblBorders>
        <w:tblLayout w:type="fixed"/>
      </w:tblPr>
      <w:tblGrid>
        <w:gridCol w:w="9020"/>
      </w:tblGrid>
      <w:tr>
        <w:tc>
          <w:tcPr>
            <w:tcW w:type="dxa" w:w="9020"/>
            <w:shd w:fill="FFF4DC" w:color="auto" w:val="clear"/>
            <w:tcMar>
              <w:top w:type="dxa" w:w="120"/>
              <w:left w:type="dxa" w:w="160"/>
              <w:bottom w:type="dxa" w:w="120"/>
              <w:right w:type="dxa" w:w="120"/>
            </w:tcMar>
          </w:tcPr>
          <w:p>
            <w:pPr>
              <w:spacing w:after="60"/>
            </w:pPr>
            <w:r>
              <w:rPr>
                <w:rFonts w:ascii="Calibri" w:cs="Calibri" w:eastAsia="Calibri" w:hAnsi="Calibri"/>
                <w:b/>
                <w:bCs/>
                <w:color w:val="003366"/>
                <w:sz w:val="21"/>
                <w:szCs w:val="21"/>
              </w:rPr>
              <w:t xml:space="preserve">Typische Prüfungsfalle</w:t>
            </w:r>
          </w:p>
          <w:p>
            <w:pPr>
              <w:spacing w:after="40"/>
            </w:pPr>
            <w:r>
              <w:rPr>
                <w:rFonts w:ascii="Calibri" w:cs="Calibri" w:eastAsia="Calibri" w:hAnsi="Calibri"/>
                <w:sz w:val="21"/>
                <w:szCs w:val="21"/>
              </w:rPr>
              <w:t xml:space="preserve">Unterscheiden Sie sauber zwischen einer Bewegung auf der Kurve (der Preis ändert sich) und einer Verschiebung der Kurve (eine andere Größe ändert sich, etwa Einkommen, Technologie oder Zahl der Anbieter). In Prüfungsaufgaben wird fast immer nach der Verschiebung gefragt.</w:t>
            </w:r>
          </w:p>
        </w:tc>
      </w:tr>
    </w:tbl>
    <w:p>
      <w:pPr>
        <w:spacing w:after="140"/>
      </w:pPr>
    </w:p>
    <w:tbl>
      <w:tblPr>
        <w:tblW w:type="dxa" w:w="9020"/>
        <w:tblBorders>
          <w:top w:val="none"/>
          <w:left w:val="single" w:color="F0A500" w:sz="18"/>
          <w:bottom w:val="none"/>
          <w:right w:val="none"/>
          <w:insideH w:val="none"/>
          <w:insideV w:val="none"/>
        </w:tblBorders>
        <w:tblLayout w:type="fixed"/>
      </w:tblPr>
      <w:tblGrid>
        <w:gridCol w:w="9020"/>
      </w:tblGrid>
      <w:tr>
        <w:tc>
          <w:tcPr>
            <w:tcW w:type="dxa" w:w="9020"/>
            <w:shd w:fill="FFF4DC" w:color="auto" w:val="clear"/>
            <w:tcMar>
              <w:top w:type="dxa" w:w="120"/>
              <w:left w:type="dxa" w:w="160"/>
              <w:bottom w:type="dxa" w:w="120"/>
              <w:right w:type="dxa" w:w="120"/>
            </w:tcMar>
          </w:tcPr>
          <w:p>
            <w:pPr>
              <w:spacing w:after="60"/>
            </w:pPr>
            <w:r>
              <w:rPr>
                <w:rFonts w:ascii="Calibri" w:cs="Calibri" w:eastAsia="Calibri" w:hAnsi="Calibri"/>
                <w:b/>
                <w:bCs/>
                <w:color w:val="003366"/>
                <w:sz w:val="21"/>
                <w:szCs w:val="21"/>
              </w:rPr>
              <w:t xml:space="preserve">Dozenten-Hinweis</w:t>
            </w:r>
          </w:p>
          <w:p>
            <w:pPr>
              <w:spacing w:after="40"/>
            </w:pPr>
            <w:r>
              <w:rPr>
                <w:rFonts w:ascii="Calibri" w:cs="Calibri" w:eastAsia="Calibri" w:hAnsi="Calibri"/>
                <w:sz w:val="21"/>
                <w:szCs w:val="21"/>
              </w:rPr>
              <w:t xml:space="preserve">Ausschreibung, Angebotseinholung und Angebotsvergleich sind kaufmännische Beschaffungsthemen und gehören nach Modul B (LF2). In Modul A bleibt die Preisbildung auf das Marktmodell begrenzt.</w:t>
            </w:r>
          </w:p>
        </w:tc>
      </w:tr>
    </w:tbl>
    <w:p>
      <w:pPr>
        <w:spacing w:after="140"/>
      </w:pPr>
    </w:p>
    <w:p>
      <w:pPr>
        <w:pStyle w:val="Heading2"/>
        <w:spacing w:after="120" w:before="280"/>
      </w:pPr>
      <w:r>
        <w:rPr>
          <w:rFonts w:ascii="Calibri" w:cs="Calibri" w:eastAsia="Calibri" w:hAnsi="Calibri"/>
          <w:b/>
          <w:bCs/>
          <w:color w:val="0066AA"/>
          <w:sz w:val="26"/>
          <w:szCs w:val="26"/>
        </w:rPr>
        <w:t xml:space="preserve">5 Wettbewerb und Marktbearbeitung</w:t>
      </w:r>
    </w:p>
    <w:tbl>
      <w:tblPr>
        <w:tblW w:type="dxa" w:w="9020"/>
        <w:tblBorders>
          <w:top w:val="single" w:color="D6E4F0" w:sz="4"/>
          <w:left w:val="single" w:color="D6E4F0" w:sz="4"/>
          <w:bottom w:val="single" w:color="D6E4F0" w:sz="4"/>
          <w:right w:val="single" w:color="D6E4F0" w:sz="4"/>
          <w:insideH w:val="single" w:color="D6E4F0" w:sz="2"/>
          <w:insideV w:val="single" w:color="D6E4F0" w:sz="2"/>
        </w:tblBorders>
        <w:tblLayout w:type="fixed"/>
      </w:tblPr>
      <w:tblGrid>
        <w:gridCol w:w="2200"/>
        <w:gridCol w:w="3200"/>
        <w:gridCol w:w="3620"/>
      </w:tblGrid>
      <w:tr>
        <w:trPr>
          <w:tblHeader/>
        </w:trPr>
        <w:tc>
          <w:tcPr>
            <w:tcW w:type="dxa" w:w="22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Strategie</w:t>
            </w:r>
          </w:p>
        </w:tc>
        <w:tc>
          <w:tcPr>
            <w:tcW w:type="dxa" w:w="32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Ansatz</w:t>
            </w:r>
          </w:p>
        </w:tc>
        <w:tc>
          <w:tcPr>
            <w:tcW w:type="dxa" w:w="362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Beispiel IT</w:t>
            </w:r>
          </w:p>
        </w:tc>
      </w:tr>
      <w:tr>
        <w:tc>
          <w:tcPr>
            <w:tcW w:type="dxa" w:w="22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Preiswettbewerb</w:t>
            </w:r>
          </w:p>
        </w:tc>
        <w:tc>
          <w:tcPr>
            <w:tcW w:type="dxa" w:w="32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Günstiger als der Wettbewerb</w:t>
            </w:r>
          </w:p>
        </w:tc>
        <w:tc>
          <w:tcPr>
            <w:tcW w:type="dxa" w:w="3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Standardisierte Managed-Service-Pakete</w:t>
            </w:r>
          </w:p>
        </w:tc>
      </w:tr>
      <w:tr>
        <w:tc>
          <w:tcPr>
            <w:tcW w:type="dxa" w:w="22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Qualitätswettbewerb</w:t>
            </w:r>
          </w:p>
        </w:tc>
        <w:tc>
          <w:tcPr>
            <w:tcW w:type="dxa" w:w="32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Höhere Leistungsgüte</w:t>
            </w:r>
          </w:p>
        </w:tc>
        <w:tc>
          <w:tcPr>
            <w:tcW w:type="dxa" w:w="3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Kurze garantierte Reaktionszeiten im SLA</w:t>
            </w:r>
          </w:p>
        </w:tc>
      </w:tr>
      <w:tr>
        <w:tc>
          <w:tcPr>
            <w:tcW w:type="dxa" w:w="22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Innovationswettbewerb</w:t>
            </w:r>
          </w:p>
        </w:tc>
        <w:tc>
          <w:tcPr>
            <w:tcW w:type="dxa" w:w="32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Neue Technologien zuerst anbieten</w:t>
            </w:r>
          </w:p>
        </w:tc>
        <w:tc>
          <w:tcPr>
            <w:tcW w:type="dxa" w:w="3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Frühes Angebot neuer Cloud-Dienste</w:t>
            </w:r>
          </w:p>
        </w:tc>
      </w:tr>
      <w:tr>
        <w:tc>
          <w:tcPr>
            <w:tcW w:type="dxa" w:w="22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Servicewettbewerb</w:t>
            </w:r>
          </w:p>
        </w:tc>
        <w:tc>
          <w:tcPr>
            <w:tcW w:type="dxa" w:w="32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Besserer Service</w:t>
            </w:r>
          </w:p>
        </w:tc>
        <w:tc>
          <w:tcPr>
            <w:tcW w:type="dxa" w:w="3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Fester Ansprechpartner, erweiterte Erreichbarkeit</w:t>
            </w:r>
          </w:p>
        </w:tc>
      </w:tr>
      <w:tr>
        <w:tc>
          <w:tcPr>
            <w:tcW w:type="dxa" w:w="22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Markenwettbewerb</w:t>
            </w:r>
          </w:p>
        </w:tc>
        <w:tc>
          <w:tcPr>
            <w:tcW w:type="dxa" w:w="32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Image und Bekanntheit</w:t>
            </w:r>
          </w:p>
        </w:tc>
        <w:tc>
          <w:tcPr>
            <w:tcW w:type="dxa" w:w="3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Auszeichnungen, Referenzkunden</w:t>
            </w:r>
          </w:p>
        </w:tc>
      </w:tr>
      <w:tr>
        <w:tc>
          <w:tcPr>
            <w:tcW w:type="dxa" w:w="22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Nischenstrategie</w:t>
            </w:r>
          </w:p>
        </w:tc>
        <w:tc>
          <w:tcPr>
            <w:tcW w:type="dxa" w:w="32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Fokus auf ein Segment</w:t>
            </w:r>
          </w:p>
        </w:tc>
        <w:tc>
          <w:tcPr>
            <w:tcW w:type="dxa" w:w="3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IT für Arztpraxen oder Hafenlogistik</w:t>
            </w:r>
          </w:p>
        </w:tc>
      </w:tr>
    </w:tbl>
    <w:p>
      <w:pPr>
        <w:spacing w:after="140"/>
      </w:pPr>
    </w:p>
    <w:tbl>
      <w:tblPr>
        <w:tblW w:type="dxa" w:w="9020"/>
        <w:tblBorders>
          <w:top w:val="none"/>
          <w:left w:val="single" w:color="003366" w:sz="18"/>
          <w:bottom w:val="none"/>
          <w:right w:val="none"/>
          <w:insideH w:val="none"/>
          <w:insideV w:val="none"/>
        </w:tblBorders>
        <w:tblLayout w:type="fixed"/>
      </w:tblPr>
      <w:tblGrid>
        <w:gridCol w:w="9020"/>
      </w:tblGrid>
      <w:tr>
        <w:tc>
          <w:tcPr>
            <w:tcW w:type="dxa" w:w="9020"/>
            <w:shd w:fill="D6E4F0" w:color="auto" w:val="clear"/>
            <w:tcMar>
              <w:top w:type="dxa" w:w="120"/>
              <w:left w:type="dxa" w:w="160"/>
              <w:bottom w:type="dxa" w:w="120"/>
              <w:right w:type="dxa" w:w="120"/>
            </w:tcMar>
          </w:tcPr>
          <w:p>
            <w:pPr>
              <w:spacing w:after="60"/>
            </w:pPr>
            <w:r>
              <w:rPr>
                <w:rFonts w:ascii="Calibri" w:cs="Calibri" w:eastAsia="Calibri" w:hAnsi="Calibri"/>
                <w:b/>
                <w:bCs/>
                <w:color w:val="003366"/>
                <w:sz w:val="21"/>
                <w:szCs w:val="21"/>
              </w:rPr>
              <w:t xml:space="preserve">Merke</w:t>
            </w:r>
          </w:p>
          <w:p>
            <w:pPr>
              <w:spacing w:after="40"/>
            </w:pPr>
            <w:r>
              <w:rPr>
                <w:rFonts w:ascii="Calibri" w:cs="Calibri" w:eastAsia="Calibri" w:hAnsi="Calibri"/>
                <w:sz w:val="21"/>
                <w:szCs w:val="21"/>
              </w:rPr>
              <w:t xml:space="preserve">Ein kleines Systemhaus gewinnt selten über den Preis: Größere Anbieter haben bessere Einkaufskonditionen. Nische, Service und Qualität sind die tragfähigeren Wege.</w:t>
            </w:r>
          </w:p>
        </w:tc>
      </w:tr>
    </w:tbl>
    <w:p>
      <w:pPr>
        <w:spacing w:after="140"/>
      </w:pPr>
    </w:p>
    <w:p>
      <w:pPr>
        <w:pStyle w:val="Heading3"/>
        <w:spacing w:after="80" w:before="200"/>
      </w:pPr>
      <w:r>
        <w:rPr>
          <w:rFonts w:ascii="Calibri" w:cs="Calibri" w:eastAsia="Calibri" w:hAnsi="Calibri"/>
          <w:b/>
          <w:bCs/>
          <w:color w:val="003366"/>
          <w:sz w:val="23"/>
          <w:szCs w:val="23"/>
        </w:rPr>
        <w:t xml:space="preserve">5.1 Marktsegmentierung</w:t>
      </w:r>
    </w:p>
    <w:tbl>
      <w:tblPr>
        <w:tblW w:type="dxa" w:w="9020"/>
        <w:tblBorders>
          <w:top w:val="single" w:color="D6E4F0" w:sz="4"/>
          <w:left w:val="single" w:color="D6E4F0" w:sz="4"/>
          <w:bottom w:val="single" w:color="D6E4F0" w:sz="4"/>
          <w:right w:val="single" w:color="D6E4F0" w:sz="4"/>
          <w:insideH w:val="single" w:color="D6E4F0" w:sz="2"/>
          <w:insideV w:val="single" w:color="D6E4F0" w:sz="2"/>
        </w:tblBorders>
        <w:tblLayout w:type="fixed"/>
      </w:tblPr>
      <w:tblGrid>
        <w:gridCol w:w="2000"/>
        <w:gridCol w:w="3400"/>
        <w:gridCol w:w="3620"/>
      </w:tblGrid>
      <w:tr>
        <w:trPr>
          <w:tblHeader/>
        </w:trPr>
        <w:tc>
          <w:tcPr>
            <w:tcW w:type="dxa" w:w="20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Kriterium</w:t>
            </w:r>
          </w:p>
        </w:tc>
        <w:tc>
          <w:tcPr>
            <w:tcW w:type="dxa" w:w="34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Inhalt</w:t>
            </w:r>
          </w:p>
        </w:tc>
        <w:tc>
          <w:tcPr>
            <w:tcW w:type="dxa" w:w="362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Beispiel im B2B</w:t>
            </w:r>
          </w:p>
        </w:tc>
      </w:tr>
      <w:tr>
        <w:tc>
          <w:tcPr>
            <w:tcW w:type="dxa" w:w="20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Geografisch</w:t>
            </w:r>
          </w:p>
        </w:tc>
        <w:tc>
          <w:tcPr>
            <w:tcW w:type="dxa" w:w="3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Region, Ortsgröße, Entfernung</w:t>
            </w:r>
          </w:p>
        </w:tc>
        <w:tc>
          <w:tcPr>
            <w:tcW w:type="dxa" w:w="3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Kunden im Umkreis von 60 km wegen Vor-Ort-Service</w:t>
            </w:r>
          </w:p>
        </w:tc>
      </w:tr>
      <w:tr>
        <w:tc>
          <w:tcPr>
            <w:tcW w:type="dxa" w:w="20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Demografisch</w:t>
            </w:r>
          </w:p>
        </w:tc>
        <w:tc>
          <w:tcPr>
            <w:tcW w:type="dxa" w:w="3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Alter, Beruf, Einkommen; im B2B Betriebsgröße und Branche</w:t>
            </w:r>
          </w:p>
        </w:tc>
        <w:tc>
          <w:tcPr>
            <w:tcW w:type="dxa" w:w="3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Betriebe mit 20 bis 100 Arbeitsplätzen</w:t>
            </w:r>
          </w:p>
        </w:tc>
      </w:tr>
      <w:tr>
        <w:tc>
          <w:tcPr>
            <w:tcW w:type="dxa" w:w="20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Psychografisch</w:t>
            </w:r>
          </w:p>
        </w:tc>
        <w:tc>
          <w:tcPr>
            <w:tcW w:type="dxa" w:w="3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Werte, Lebensstil, Risikobereitschaft</w:t>
            </w:r>
          </w:p>
        </w:tc>
        <w:tc>
          <w:tcPr>
            <w:tcW w:type="dxa" w:w="3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Kunden mit hoher Sicherheitsanforderung</w:t>
            </w:r>
          </w:p>
        </w:tc>
      </w:tr>
      <w:tr>
        <w:tc>
          <w:tcPr>
            <w:tcW w:type="dxa" w:w="20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Verhaltensorientiert</w:t>
            </w:r>
          </w:p>
        </w:tc>
        <w:tc>
          <w:tcPr>
            <w:tcW w:type="dxa" w:w="3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Kaufverhalten, Preissensibilität, Treue</w:t>
            </w:r>
          </w:p>
        </w:tc>
        <w:tc>
          <w:tcPr>
            <w:tcW w:type="dxa" w:w="3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Kunden mit laufendem Wartungsvertrag</w:t>
            </w:r>
          </w:p>
        </w:tc>
      </w:tr>
    </w:tbl>
    <w:p>
      <w:pPr>
        <w:spacing w:after="140"/>
      </w:pPr>
    </w:p>
    <w:p>
      <w:pPr>
        <w:pStyle w:val="Heading3"/>
        <w:spacing w:after="80" w:before="200"/>
      </w:pPr>
      <w:r>
        <w:rPr>
          <w:rFonts w:ascii="Calibri" w:cs="Calibri" w:eastAsia="Calibri" w:hAnsi="Calibri"/>
          <w:b/>
          <w:bCs/>
          <w:color w:val="003366"/>
          <w:sz w:val="23"/>
          <w:szCs w:val="23"/>
        </w:rPr>
        <w:t xml:space="preserve">5.2 Marktgrößen</w:t>
      </w:r>
    </w:p>
    <w:tbl>
      <w:tblPr>
        <w:tblW w:type="dxa" w:w="9020"/>
        <w:tblBorders>
          <w:top w:val="single" w:color="D6E4F0" w:sz="4"/>
          <w:left w:val="single" w:color="D6E4F0" w:sz="4"/>
          <w:bottom w:val="single" w:color="D6E4F0" w:sz="4"/>
          <w:right w:val="single" w:color="D6E4F0" w:sz="4"/>
          <w:insideH w:val="single" w:color="D6E4F0" w:sz="2"/>
          <w:insideV w:val="single" w:color="D6E4F0" w:sz="2"/>
        </w:tblBorders>
        <w:tblLayout w:type="fixed"/>
      </w:tblPr>
      <w:tblGrid>
        <w:gridCol w:w="2600"/>
        <w:gridCol w:w="6420"/>
      </w:tblGrid>
      <w:tr>
        <w:trPr>
          <w:tblHeader/>
        </w:trPr>
        <w:tc>
          <w:tcPr>
            <w:tcW w:type="dxa" w:w="26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Größe</w:t>
            </w:r>
          </w:p>
        </w:tc>
        <w:tc>
          <w:tcPr>
            <w:tcW w:type="dxa" w:w="642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Bedeutung</w:t>
            </w:r>
          </w:p>
        </w:tc>
      </w:tr>
      <w:tr>
        <w:tc>
          <w:tcPr>
            <w:tcW w:type="dxa" w:w="26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Marktpotenzial</w:t>
            </w:r>
          </w:p>
        </w:tc>
        <w:tc>
          <w:tcPr>
            <w:tcW w:type="dxa" w:w="64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Maximal mögliche Absatzmenge aller Anbieter</w:t>
            </w:r>
          </w:p>
        </w:tc>
      </w:tr>
      <w:tr>
        <w:tc>
          <w:tcPr>
            <w:tcW w:type="dxa" w:w="26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Marktvolumen</w:t>
            </w:r>
          </w:p>
        </w:tc>
        <w:tc>
          <w:tcPr>
            <w:tcW w:type="dxa" w:w="64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Tatsächlich realisierte Absatzmenge aller Anbieter</w:t>
            </w:r>
          </w:p>
        </w:tc>
      </w:tr>
      <w:tr>
        <w:tc>
          <w:tcPr>
            <w:tcW w:type="dxa" w:w="26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Absatzpotenzial</w:t>
            </w:r>
          </w:p>
        </w:tc>
        <w:tc>
          <w:tcPr>
            <w:tcW w:type="dxa" w:w="64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Maximal mögliche Absatzmenge eines Unternehmens</w:t>
            </w:r>
          </w:p>
        </w:tc>
      </w:tr>
      <w:tr>
        <w:tc>
          <w:tcPr>
            <w:tcW w:type="dxa" w:w="26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Absatzvolumen</w:t>
            </w:r>
          </w:p>
        </w:tc>
        <w:tc>
          <w:tcPr>
            <w:tcW w:type="dxa" w:w="64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Tatsächlich realisierte Absatzmenge eines Unternehmens</w:t>
            </w:r>
          </w:p>
        </w:tc>
      </w:tr>
      <w:tr>
        <w:tc>
          <w:tcPr>
            <w:tcW w:type="dxa" w:w="26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Marktanteil</w:t>
            </w:r>
          </w:p>
        </w:tc>
        <w:tc>
          <w:tcPr>
            <w:tcW w:type="dxa" w:w="64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(Absatzvolumen ÷ Marktvolumen) × 100 %</w:t>
            </w:r>
          </w:p>
        </w:tc>
      </w:tr>
    </w:tbl>
    <w:p>
      <w:pPr>
        <w:spacing w:after="140"/>
      </w:pPr>
    </w:p>
    <w:p>
      <w:pPr>
        <w:pStyle w:val="Heading3"/>
        <w:spacing w:after="80" w:before="200"/>
      </w:pPr>
      <w:r>
        <w:rPr>
          <w:rFonts w:ascii="Calibri" w:cs="Calibri" w:eastAsia="Calibri" w:hAnsi="Calibri"/>
          <w:b/>
          <w:bCs/>
          <w:color w:val="003366"/>
          <w:sz w:val="23"/>
          <w:szCs w:val="23"/>
        </w:rPr>
        <w:t xml:space="preserve">5.3 Rahmenbedingungen</w:t>
      </w:r>
    </w:p>
    <w:p>
      <w:pPr>
        <w:pStyle w:val="ListParagraph"/>
        <w:numPr>
          <w:ilvl w:val="0"/>
          <w:numId w:val="2"/>
        </w:numPr>
        <w:spacing w:after="60"/>
      </w:pPr>
      <w:r>
        <w:rPr>
          <w:rFonts w:ascii="Calibri" w:cs="Calibri" w:eastAsia="Calibri" w:hAnsi="Calibri"/>
          <w:sz w:val="22"/>
          <w:szCs w:val="22"/>
        </w:rPr>
        <w:t xml:space="preserve">Saisonale Schwankungen: Jahreszeit, Kalender, Budgetzyklen der Kunden zum Jahresende.</w:t>
      </w:r>
    </w:p>
    <w:p>
      <w:pPr>
        <w:pStyle w:val="ListParagraph"/>
        <w:numPr>
          <w:ilvl w:val="0"/>
          <w:numId w:val="2"/>
        </w:numPr>
        <w:spacing w:after="60"/>
      </w:pPr>
      <w:r>
        <w:rPr>
          <w:rFonts w:ascii="Calibri" w:cs="Calibri" w:eastAsia="Calibri" w:hAnsi="Calibri"/>
          <w:sz w:val="22"/>
          <w:szCs w:val="22"/>
        </w:rPr>
        <w:t xml:space="preserve">Strukturelle Veränderungen: neue Technologien, Gesetze und Auflagen, verändertes Nutzerverhalten.</w:t>
      </w:r>
    </w:p>
    <w:p>
      <w:pPr>
        <w:pStyle w:val="ListParagraph"/>
        <w:numPr>
          <w:ilvl w:val="0"/>
          <w:numId w:val="2"/>
        </w:numPr>
        <w:spacing w:after="60"/>
      </w:pPr>
      <w:r>
        <w:rPr>
          <w:rFonts w:ascii="Calibri" w:cs="Calibri" w:eastAsia="Calibri" w:hAnsi="Calibri"/>
          <w:sz w:val="22"/>
          <w:szCs w:val="22"/>
        </w:rPr>
        <w:t xml:space="preserve">Konjunkturelle Schwankungen: Investitionsbereitschaft der Kunden, Zinsniveau, allgemeine Auftragslage.</w:t>
      </w:r>
    </w:p>
    <w:p>
      <w:pPr>
        <w:pStyle w:val="ListParagraph"/>
        <w:numPr>
          <w:ilvl w:val="0"/>
          <w:numId w:val="2"/>
        </w:numPr>
        <w:spacing w:after="60"/>
      </w:pPr>
      <w:r>
        <w:rPr>
          <w:rFonts w:ascii="Calibri" w:cs="Calibri" w:eastAsia="Calibri" w:hAnsi="Calibri"/>
          <w:sz w:val="22"/>
          <w:szCs w:val="22"/>
        </w:rPr>
        <w:t xml:space="preserve">Analysekriterien für das eigene Angebot: Angebotsbreite und -tiefe, Innovationskraft, Serviceleistungen, Lieferzeiten, Qualität, Alleinstellungsmerkmale, Bewertungen, Bekanntheit, Stammkundenanteil, Standort und Ausstattung.</w:t>
      </w:r>
    </w:p>
    <w:p>
      <w:pPr>
        <w:pStyle w:val="Heading2"/>
        <w:spacing w:after="120" w:before="280"/>
      </w:pPr>
      <w:r>
        <w:rPr>
          <w:rFonts w:ascii="Calibri" w:cs="Calibri" w:eastAsia="Calibri" w:hAnsi="Calibri"/>
          <w:b/>
          <w:bCs/>
          <w:color w:val="0066AA"/>
          <w:sz w:val="26"/>
          <w:szCs w:val="26"/>
        </w:rPr>
        <w:t xml:space="preserve">6 Kurzcheck</w:t>
      </w:r>
    </w:p>
    <w:p>
      <w:pPr>
        <w:pStyle w:val="ListParagraph"/>
        <w:numPr>
          <w:ilvl w:val="0"/>
          <w:numId w:val="2"/>
        </w:numPr>
        <w:spacing w:after="60"/>
      </w:pPr>
      <w:r>
        <w:rPr>
          <w:rFonts w:ascii="Calibri" w:cs="Calibri" w:eastAsia="Calibri" w:hAnsi="Calibri"/>
          <w:sz w:val="22"/>
          <w:szCs w:val="22"/>
        </w:rPr>
        <w:t xml:space="preserve">Ich kann den einfachen und den erweiterten Wirtschaftskreislauf darstellen.</w:t>
      </w:r>
    </w:p>
    <w:p>
      <w:pPr>
        <w:pStyle w:val="ListParagraph"/>
        <w:numPr>
          <w:ilvl w:val="0"/>
          <w:numId w:val="2"/>
        </w:numPr>
        <w:spacing w:after="60"/>
      </w:pPr>
      <w:r>
        <w:rPr>
          <w:rFonts w:ascii="Calibri" w:cs="Calibri" w:eastAsia="Calibri" w:hAnsi="Calibri"/>
          <w:sz w:val="22"/>
          <w:szCs w:val="22"/>
        </w:rPr>
        <w:t xml:space="preserve">Ich kann Geldströme den Beteiligten zuordnen.</w:t>
      </w:r>
    </w:p>
    <w:p>
      <w:pPr>
        <w:pStyle w:val="ListParagraph"/>
        <w:numPr>
          <w:ilvl w:val="0"/>
          <w:numId w:val="2"/>
        </w:numPr>
        <w:spacing w:after="60"/>
      </w:pPr>
      <w:r>
        <w:rPr>
          <w:rFonts w:ascii="Calibri" w:cs="Calibri" w:eastAsia="Calibri" w:hAnsi="Calibri"/>
          <w:sz w:val="22"/>
          <w:szCs w:val="22"/>
        </w:rPr>
        <w:t xml:space="preserve">Ich kann sechs Marktarten unterscheiden.</w:t>
      </w:r>
    </w:p>
    <w:p>
      <w:pPr>
        <w:pStyle w:val="ListParagraph"/>
        <w:numPr>
          <w:ilvl w:val="0"/>
          <w:numId w:val="2"/>
        </w:numPr>
        <w:spacing w:after="60"/>
      </w:pPr>
      <w:r>
        <w:rPr>
          <w:rFonts w:ascii="Calibri" w:cs="Calibri" w:eastAsia="Calibri" w:hAnsi="Calibri"/>
          <w:sz w:val="22"/>
          <w:szCs w:val="22"/>
        </w:rPr>
        <w:t xml:space="preserve">Ich kann die Transaktionsbereiche im E-Commerce zuordnen.</w:t>
      </w:r>
    </w:p>
    <w:p>
      <w:pPr>
        <w:pStyle w:val="ListParagraph"/>
        <w:numPr>
          <w:ilvl w:val="0"/>
          <w:numId w:val="2"/>
        </w:numPr>
        <w:spacing w:after="60"/>
      </w:pPr>
      <w:r>
        <w:rPr>
          <w:rFonts w:ascii="Calibri" w:cs="Calibri" w:eastAsia="Calibri" w:hAnsi="Calibri"/>
          <w:sz w:val="22"/>
          <w:szCs w:val="22"/>
        </w:rPr>
        <w:t xml:space="preserve">Ich kann die neun Marktformen im Schema bestimmen.</w:t>
      </w:r>
    </w:p>
    <w:p>
      <w:pPr>
        <w:pStyle w:val="ListParagraph"/>
        <w:numPr>
          <w:ilvl w:val="0"/>
          <w:numId w:val="2"/>
        </w:numPr>
        <w:spacing w:after="60"/>
      </w:pPr>
      <w:r>
        <w:rPr>
          <w:rFonts w:ascii="Calibri" w:cs="Calibri" w:eastAsia="Calibri" w:hAnsi="Calibri"/>
          <w:sz w:val="22"/>
          <w:szCs w:val="22"/>
        </w:rPr>
        <w:t xml:space="preserve">Ich kann Gleichgewichtspreis und Kurvenverschiebungen erklären.</w:t>
      </w:r>
    </w:p>
    <w:p>
      <w:pPr>
        <w:pStyle w:val="ListParagraph"/>
        <w:numPr>
          <w:ilvl w:val="0"/>
          <w:numId w:val="2"/>
        </w:numPr>
        <w:spacing w:after="60"/>
      </w:pPr>
      <w:r>
        <w:rPr>
          <w:rFonts w:ascii="Calibri" w:cs="Calibri" w:eastAsia="Calibri" w:hAnsi="Calibri"/>
          <w:sz w:val="22"/>
          <w:szCs w:val="22"/>
        </w:rPr>
        <w:t xml:space="preserve">Ich kann sechs Wettbewerbsstrategien an IT-Beispielen anwenden.</w:t>
      </w:r>
    </w:p>
    <w:p>
      <w:pPr>
        <w:pStyle w:val="ListParagraph"/>
        <w:numPr>
          <w:ilvl w:val="0"/>
          <w:numId w:val="2"/>
        </w:numPr>
        <w:spacing w:after="60"/>
      </w:pPr>
      <w:r>
        <w:rPr>
          <w:rFonts w:ascii="Calibri" w:cs="Calibri" w:eastAsia="Calibri" w:hAnsi="Calibri"/>
          <w:sz w:val="22"/>
          <w:szCs w:val="22"/>
        </w:rPr>
        <w:t xml:space="preserve">Ich kann Marktpotenzial, Marktvolumen und Marktanteil unterscheiden und berechnen.</w:t>
      </w:r>
    </w:p>
    <w:p>
      <w:pPr>
        <w:pStyle w:val="ListParagraph"/>
        <w:numPr>
          <w:ilvl w:val="0"/>
          <w:numId w:val="2"/>
        </w:numPr>
        <w:spacing w:after="60"/>
      </w:pPr>
      <w:r>
        <w:rPr>
          <w:rFonts w:ascii="Calibri" w:cs="Calibri" w:eastAsia="Calibri" w:hAnsi="Calibri"/>
          <w:sz w:val="22"/>
          <w:szCs w:val="22"/>
        </w:rPr>
        <w:t xml:space="preserve">Ich kann saisonale, strukturelle und konjunkturelle Einflüsse unterscheiden.</w:t>
      </w:r>
    </w:p>
    <w:p>
      <w:pPr>
        <w:pStyle w:val="Heading2"/>
        <w:spacing w:after="120" w:before="280"/>
      </w:pPr>
      <w:r>
        <w:rPr>
          <w:rFonts w:ascii="Calibri" w:cs="Calibri" w:eastAsia="Calibri" w:hAnsi="Calibri"/>
          <w:b/>
          <w:bCs/>
          <w:color w:val="0066AA"/>
          <w:sz w:val="26"/>
          <w:szCs w:val="26"/>
        </w:rPr>
        <w:t xml:space="preserve">7 Begriffe dieser Lerneinheit</w:t>
      </w:r>
    </w:p>
    <w:tbl>
      <w:tblPr>
        <w:tblW w:type="dxa" w:w="9020"/>
        <w:tblBorders>
          <w:top w:val="single" w:color="D6E4F0" w:sz="4"/>
          <w:left w:val="single" w:color="D6E4F0" w:sz="4"/>
          <w:bottom w:val="single" w:color="D6E4F0" w:sz="4"/>
          <w:right w:val="single" w:color="D6E4F0" w:sz="4"/>
          <w:insideH w:val="single" w:color="D6E4F0" w:sz="2"/>
          <w:insideV w:val="single" w:color="D6E4F0" w:sz="2"/>
        </w:tblBorders>
        <w:tblLayout w:type="fixed"/>
      </w:tblPr>
      <w:tblGrid>
        <w:gridCol w:w="2400"/>
        <w:gridCol w:w="6620"/>
      </w:tblGrid>
      <w:tr>
        <w:trPr>
          <w:tblHeader/>
        </w:trPr>
        <w:tc>
          <w:tcPr>
            <w:tcW w:type="dxa" w:w="24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Begriff</w:t>
            </w:r>
          </w:p>
        </w:tc>
        <w:tc>
          <w:tcPr>
            <w:tcW w:type="dxa" w:w="662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Erklärung</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Absatzvolumen</w:t>
            </w:r>
          </w:p>
        </w:tc>
        <w:tc>
          <w:tcPr>
            <w:tcW w:type="dxa" w:w="6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Tatsächlich realisierte Absatzmenge eines Unternehmens</w:t>
            </w:r>
          </w:p>
        </w:tc>
      </w:tr>
      <w:tr>
        <w:tc>
          <w:tcPr>
            <w:tcW w:type="dxa" w:w="2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Angebotsmonopol</w:t>
            </w:r>
          </w:p>
        </w:tc>
        <w:tc>
          <w:tcPr>
            <w:tcW w:type="dxa" w:w="6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Ein Anbieter, viele Nachfrager</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Angebotsoligopol</w:t>
            </w:r>
          </w:p>
        </w:tc>
        <w:tc>
          <w:tcPr>
            <w:tcW w:type="dxa" w:w="6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Wenige Anbieter, viele Nachfrager</w:t>
            </w:r>
          </w:p>
        </w:tc>
      </w:tr>
      <w:tr>
        <w:tc>
          <w:tcPr>
            <w:tcW w:type="dxa" w:w="2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B2B</w:t>
            </w:r>
          </w:p>
        </w:tc>
        <w:tc>
          <w:tcPr>
            <w:tcW w:type="dxa" w:w="6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Geschäftsbeziehung zwischen Unternehmen</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Gleichgewichtspreis</w:t>
            </w:r>
          </w:p>
        </w:tc>
        <w:tc>
          <w:tcPr>
            <w:tcW w:type="dxa" w:w="6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Preis im Schnittpunkt von Angebot und Nachfrage</w:t>
            </w:r>
          </w:p>
        </w:tc>
      </w:tr>
      <w:tr>
        <w:tc>
          <w:tcPr>
            <w:tcW w:type="dxa" w:w="2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Konjunkturelle Schwankung</w:t>
            </w:r>
          </w:p>
        </w:tc>
        <w:tc>
          <w:tcPr>
            <w:tcW w:type="dxa" w:w="6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Veränderung durch die allgemeine Wirtschaftslage</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Marktanteil</w:t>
            </w:r>
          </w:p>
        </w:tc>
        <w:tc>
          <w:tcPr>
            <w:tcW w:type="dxa" w:w="6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Absatzvolumen im Verhältnis zum Marktvolumen in Prozent</w:t>
            </w:r>
          </w:p>
        </w:tc>
      </w:tr>
      <w:tr>
        <w:tc>
          <w:tcPr>
            <w:tcW w:type="dxa" w:w="2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Marktpotenzial</w:t>
            </w:r>
          </w:p>
        </w:tc>
        <w:tc>
          <w:tcPr>
            <w:tcW w:type="dxa" w:w="6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Maximal mögliche Absatzmenge aller Anbieter</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Marktsegmentierung</w:t>
            </w:r>
          </w:p>
        </w:tc>
        <w:tc>
          <w:tcPr>
            <w:tcW w:type="dxa" w:w="6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Aufteilung des Gesamtmarkts in homogene Kundengruppen</w:t>
            </w:r>
          </w:p>
        </w:tc>
      </w:tr>
      <w:tr>
        <w:tc>
          <w:tcPr>
            <w:tcW w:type="dxa" w:w="2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Marktvolumen</w:t>
            </w:r>
          </w:p>
        </w:tc>
        <w:tc>
          <w:tcPr>
            <w:tcW w:type="dxa" w:w="6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Tatsächlich realisierte Absatzmenge aller Anbieter</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Nachfragemonopol</w:t>
            </w:r>
          </w:p>
        </w:tc>
        <w:tc>
          <w:tcPr>
            <w:tcW w:type="dxa" w:w="6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Ein Nachfrager, viele Anbieter</w:t>
            </w:r>
          </w:p>
        </w:tc>
      </w:tr>
      <w:tr>
        <w:tc>
          <w:tcPr>
            <w:tcW w:type="dxa" w:w="2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Nischenstrategie</w:t>
            </w:r>
          </w:p>
        </w:tc>
        <w:tc>
          <w:tcPr>
            <w:tcW w:type="dxa" w:w="6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Konzentration auf ein abgegrenztes Marktsegment</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Polypol</w:t>
            </w:r>
          </w:p>
        </w:tc>
        <w:tc>
          <w:tcPr>
            <w:tcW w:type="dxa" w:w="6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Viele Anbieter und viele Nachfrager</w:t>
            </w:r>
          </w:p>
        </w:tc>
      </w:tr>
      <w:tr>
        <w:tc>
          <w:tcPr>
            <w:tcW w:type="dxa" w:w="2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Strukturelle Veränderung</w:t>
            </w:r>
          </w:p>
        </w:tc>
        <w:tc>
          <w:tcPr>
            <w:tcW w:type="dxa" w:w="6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Dauerhafte Veränderung durch Technologie, Recht oder Verhalten</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Unvollkommener Markt</w:t>
            </w:r>
          </w:p>
        </w:tc>
        <w:tc>
          <w:tcPr>
            <w:tcW w:type="dxa" w:w="6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Markt, bei dem mindestens ein Modellkriterium nicht erfüllt ist</w:t>
            </w:r>
          </w:p>
        </w:tc>
      </w:tr>
      <w:tr>
        <w:tc>
          <w:tcPr>
            <w:tcW w:type="dxa" w:w="2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Wirtschaftskreislauf</w:t>
            </w:r>
          </w:p>
        </w:tc>
        <w:tc>
          <w:tcPr>
            <w:tcW w:type="dxa" w:w="6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Modell der Güter- und Geldströme zwischen den Wirtschaftsteilnehmern</w:t>
            </w:r>
          </w:p>
        </w:tc>
      </w:tr>
    </w:tbl>
    <w:p>
      <w:pPr>
        <w:spacing w:after="140"/>
      </w:pP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66666"/>
        <w:sz w:val="18"/>
        <w:szCs w:val="18"/>
      </w:rPr>
      <w:t xml:space="preserve">bfw Lübeck · Handout LE 09 · Seite </w:t>
    </w:r>
    <w:r>
      <w:rPr>
        <w:rFonts w:ascii="Calibri" w:cs="Calibri" w:eastAsia="Calibri" w:hAnsi="Calibri"/>
        <w:color w:val="666666"/>
        <w:sz w:val="18"/>
        <w:szCs w:val="18"/>
      </w:rPr>
      <w:fldChar w:fldCharType="begin"/>
      <w:instrText xml:space="preserve">PAGE</w:instrText>
      <w:fldChar w:fldCharType="separate"/>
      <w:fldChar w:fldCharType="end"/>
    </w:r>
    <w:r>
      <w:rPr>
        <w:rFonts w:ascii="Calibri" w:cs="Calibri" w:eastAsia="Calibri" w:hAnsi="Calibri"/>
        <w:color w:val="666666"/>
        <w:sz w:val="18"/>
        <w:szCs w:val="18"/>
      </w:rPr>
      <w:t xml:space="preserve"> von </w:t>
    </w:r>
    <w:r>
      <w:rPr>
        <w:rFonts w:ascii="Calibri" w:cs="Calibri" w:eastAsia="Calibri" w:hAnsi="Calibri"/>
        <w:color w:val="666666"/>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6E4F0" w:sz="6" w:space="4"/>
      </w:pBdr>
      <w:jc w:val="right"/>
    </w:pPr>
    <w:r>
      <w:rPr>
        <w:rFonts w:ascii="Calibri" w:cs="Calibri" w:eastAsia="Calibri" w:hAnsi="Calibri"/>
        <w:color w:val="0066AA"/>
        <w:sz w:val="18"/>
        <w:szCs w:val="18"/>
      </w:rPr>
      <w:t xml:space="preserve">Modul A · LE 09 – Das Marktumfeld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0066AA"/>
      </w:rPr>
    </w:lvl>
    <w:lvl w:ilvl="1" w15:tentative="1">
      <w:start w:val="1"/>
      <w:numFmt w:val="bullet"/>
      <w:lvlText w:val="◦"/>
      <w:lvlJc w:val="left"/>
      <w:pPr>
        <w:ind w:left="720" w:hanging="260"/>
      </w:pPr>
    </w:lvl>
  </w:abstractNum>
  <w:abstractNum w:abstractNumId="3" w15:restartNumberingAfterBreak="0">
    <w:multiLevelType w:val="hybridMultilevel"/>
    <w:lvl w:ilvl="0" w15:tentative="1">
      <w:start w:val="1"/>
      <w:numFmt w:val="decimal"/>
      <w:lvlText w:val="%1."/>
      <w:lvlJc w:val="left"/>
      <w:pPr>
        <w:ind w:left="400" w:hanging="300"/>
      </w:pPr>
      <w:rPr>
        <w:b/>
        <w:bCs/>
        <w:color w:val="003366"/>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 A · LE 09 – Handout</dc:title>
  <dc:creator>bfw Lübeck</dc:creator>
  <cp:lastModifiedBy>Un-named</cp:lastModifiedBy>
  <cp:revision>1</cp:revision>
  <dcterms:created xsi:type="dcterms:W3CDTF">2026-08-04T16:46:17.721Z</dcterms:created>
  <dcterms:modified xsi:type="dcterms:W3CDTF">2026-08-04T16:46:17.721Z</dcterms:modified>
</cp:coreProperties>
</file>

<file path=docProps/custom.xml><?xml version="1.0" encoding="utf-8"?>
<Properties xmlns="http://schemas.openxmlformats.org/officeDocument/2006/custom-properties" xmlns:vt="http://schemas.openxmlformats.org/officeDocument/2006/docPropsVTypes"/>
</file>