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Bdr>
          <w:bottom w:val="single" w:color="F0A500" w:sz="12" w:space="4"/>
        </w:pBdr>
        <w:spacing w:after="200" w:before="120"/>
      </w:pPr>
      <w:r>
        <w:rPr>
          <w:rFonts w:ascii="Calibri" w:cs="Calibri" w:eastAsia="Calibri" w:hAnsi="Calibri"/>
          <w:b/>
          <w:bCs/>
          <w:color w:val="003366"/>
          <w:sz w:val="34"/>
          <w:szCs w:val="34"/>
        </w:rPr>
        <w:t xml:space="preserve">LE 08 – Wertschöpfung und Geschäftsprozesse</w:t>
      </w:r>
    </w:p>
    <w:p>
      <w:pPr>
        <w:spacing w:after="120"/>
      </w:pPr>
      <w:r>
        <w:rPr>
          <w:rFonts w:ascii="Calibri" w:cs="Calibri" w:eastAsia="Calibri" w:hAnsi="Calibri"/>
          <w:b/>
          <w:bCs/>
          <w:i w:val="false"/>
          <w:iCs w:val="false"/>
          <w:color w:val="0066AA"/>
          <w:sz w:val="22"/>
          <w:szCs w:val="22"/>
        </w:rPr>
        <w:t xml:space="preserve">Modul A – Der Betrieb und sein Umfeld · Lernfeld 1 · 10 Unterrichtseinheiten</w:t>
      </w:r>
    </w:p>
    <w:p>
      <w:pPr>
        <w:spacing w:after="120"/>
      </w:pPr>
      <w:r>
        <w:rPr>
          <w:rFonts w:ascii="Calibri" w:cs="Calibri" w:eastAsia="Calibri" w:hAnsi="Calibri"/>
          <w:b w:val="false"/>
          <w:bCs w:val="false"/>
          <w:i/>
          <w:iCs/>
          <w:color w:val="1A1A1A"/>
          <w:sz w:val="22"/>
          <w:szCs w:val="22"/>
        </w:rPr>
        <w:t xml:space="preserve">Handout zur Präsentation. Aufgabenblatt und Musterlösungen liegen separat bei.</w:t>
      </w:r>
    </w:p>
    <w:p>
      <w:pPr>
        <w:spacing w:after="120"/>
      </w:pPr>
      <w:r>
        <w:rPr>
          <w:rFonts w:ascii="Calibri" w:cs="Calibri" w:eastAsia="Calibri" w:hAnsi="Calibri"/>
          <w:b w:val="false"/>
          <w:bCs w:val="false"/>
          <w:i/>
          <w:iCs/>
          <w:color w:val="1A1A1A"/>
          <w:sz w:val="19"/>
          <w:szCs w:val="19"/>
        </w:rPr>
        <w:t xml:space="preserve">KONTURA IT-Solutions ist ein frei erfundenes Modellunternehmen.</w:t>
      </w:r>
    </w:p>
    <w:p>
      <w:pPr>
        <w:pStyle w:val="Heading2"/>
        <w:spacing w:after="120" w:before="280"/>
      </w:pPr>
      <w:r>
        <w:rPr>
          <w:rFonts w:ascii="Calibri" w:cs="Calibri" w:eastAsia="Calibri" w:hAnsi="Calibri"/>
          <w:b/>
          <w:bCs/>
          <w:color w:val="0066AA"/>
          <w:sz w:val="26"/>
          <w:szCs w:val="26"/>
        </w:rPr>
        <w:t xml:space="preserve">Lernziele</w:t>
      </w:r>
    </w:p>
    <w:p>
      <w:pPr>
        <w:pStyle w:val="ListParagraph"/>
        <w:numPr>
          <w:ilvl w:val="0"/>
          <w:numId w:val="2"/>
        </w:numPr>
        <w:spacing w:after="60"/>
      </w:pPr>
      <w:r>
        <w:rPr>
          <w:rFonts w:ascii="Calibri" w:cs="Calibri" w:eastAsia="Calibri" w:hAnsi="Calibri"/>
          <w:sz w:val="22"/>
          <w:szCs w:val="22"/>
        </w:rPr>
        <w:t xml:space="preserve">Produktionsfaktoren und Güterarten einordnen.</w:t>
      </w:r>
    </w:p>
    <w:p>
      <w:pPr>
        <w:pStyle w:val="ListParagraph"/>
        <w:numPr>
          <w:ilvl w:val="0"/>
          <w:numId w:val="2"/>
        </w:numPr>
        <w:spacing w:after="60"/>
      </w:pPr>
      <w:r>
        <w:rPr>
          <w:rFonts w:ascii="Calibri" w:cs="Calibri" w:eastAsia="Calibri" w:hAnsi="Calibri"/>
          <w:sz w:val="22"/>
          <w:szCs w:val="22"/>
        </w:rPr>
        <w:t xml:space="preserve">Wertschöpfung berechnen und ihre Verwendung erklären.</w:t>
      </w:r>
    </w:p>
    <w:p>
      <w:pPr>
        <w:pStyle w:val="ListParagraph"/>
        <w:numPr>
          <w:ilvl w:val="0"/>
          <w:numId w:val="2"/>
        </w:numPr>
        <w:spacing w:after="60"/>
      </w:pPr>
      <w:r>
        <w:rPr>
          <w:rFonts w:ascii="Calibri" w:cs="Calibri" w:eastAsia="Calibri" w:hAnsi="Calibri"/>
          <w:sz w:val="22"/>
          <w:szCs w:val="22"/>
        </w:rPr>
        <w:t xml:space="preserve">Die Wertschöpfungskette eines IT-Dienstleisters beschreiben.</w:t>
      </w:r>
    </w:p>
    <w:p>
      <w:pPr>
        <w:pStyle w:val="ListParagraph"/>
        <w:numPr>
          <w:ilvl w:val="0"/>
          <w:numId w:val="2"/>
        </w:numPr>
        <w:spacing w:after="60"/>
      </w:pPr>
      <w:r>
        <w:rPr>
          <w:rFonts w:ascii="Calibri" w:cs="Calibri" w:eastAsia="Calibri" w:hAnsi="Calibri"/>
          <w:sz w:val="22"/>
          <w:szCs w:val="22"/>
        </w:rPr>
        <w:t xml:space="preserve">Digitalisierung, digitale Transformation und Disruption unterscheiden.</w:t>
      </w:r>
    </w:p>
    <w:p>
      <w:pPr>
        <w:pStyle w:val="ListParagraph"/>
        <w:numPr>
          <w:ilvl w:val="0"/>
          <w:numId w:val="2"/>
        </w:numPr>
        <w:spacing w:after="60"/>
      </w:pPr>
      <w:r>
        <w:rPr>
          <w:rFonts w:ascii="Calibri" w:cs="Calibri" w:eastAsia="Calibri" w:hAnsi="Calibri"/>
          <w:sz w:val="22"/>
          <w:szCs w:val="22"/>
        </w:rPr>
        <w:t xml:space="preserve">Geschäftsprozesse beschreiben und in Kern-, Support- und Managementprozesse gliedern.</w:t>
      </w:r>
    </w:p>
    <w:p>
      <w:pPr>
        <w:pStyle w:val="ListParagraph"/>
        <w:numPr>
          <w:ilvl w:val="0"/>
          <w:numId w:val="2"/>
        </w:numPr>
        <w:spacing w:after="60"/>
      </w:pPr>
      <w:r>
        <w:rPr>
          <w:rFonts w:ascii="Calibri" w:cs="Calibri" w:eastAsia="Calibri" w:hAnsi="Calibri"/>
          <w:sz w:val="22"/>
          <w:szCs w:val="22"/>
        </w:rPr>
        <w:t xml:space="preserve">Einen Prozess strukturiert darstellen und mit Kennzahlen steuern.</w:t>
      </w:r>
    </w:p>
    <w:p>
      <w:pPr>
        <w:pStyle w:val="ListParagraph"/>
        <w:numPr>
          <w:ilvl w:val="0"/>
          <w:numId w:val="2"/>
        </w:numPr>
        <w:spacing w:after="60"/>
      </w:pPr>
      <w:r>
        <w:rPr>
          <w:rFonts w:ascii="Calibri" w:cs="Calibri" w:eastAsia="Calibri" w:hAnsi="Calibri"/>
          <w:sz w:val="22"/>
          <w:szCs w:val="22"/>
        </w:rPr>
        <w:t xml:space="preserve">Integrierte Anwendungssysteme entlang der Wertschöpfungskette zuordnen.</w:t>
      </w:r>
    </w:p>
    <w:p>
      <w:pPr>
        <w:pStyle w:val="Heading2"/>
        <w:spacing w:after="120" w:before="280"/>
      </w:pPr>
      <w:r>
        <w:rPr>
          <w:rFonts w:ascii="Calibri" w:cs="Calibri" w:eastAsia="Calibri" w:hAnsi="Calibri"/>
          <w:b/>
          <w:bCs/>
          <w:color w:val="0066AA"/>
          <w:sz w:val="26"/>
          <w:szCs w:val="26"/>
        </w:rPr>
        <w:t xml:space="preserve">1 Produktionsfaktoren</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000"/>
        <w:gridCol w:w="3000"/>
        <w:gridCol w:w="4020"/>
      </w:tblGrid>
      <w:tr>
        <w:trPr>
          <w:tblHeader/>
        </w:trPr>
        <w:tc>
          <w:tcPr>
            <w:tcW w:type="dxa" w:w="20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Faktor</w:t>
            </w:r>
          </w:p>
        </w:tc>
        <w:tc>
          <w:tcPr>
            <w:tcW w:type="dxa" w:w="30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Inhalt</w:t>
            </w:r>
          </w:p>
        </w:tc>
        <w:tc>
          <w:tcPr>
            <w:tcW w:type="dxa" w:w="40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Beispiel im Systemhaus</w:t>
            </w:r>
          </w:p>
        </w:tc>
      </w:tr>
      <w:tr>
        <w:tc>
          <w:tcPr>
            <w:tcW w:type="dxa" w:w="2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Arbeit (exekutiv)</w:t>
            </w:r>
          </w:p>
        </w:tc>
        <w:tc>
          <w:tcPr>
            <w:tcW w:type="dxa" w:w="3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Ausführende menschliche Arbeitsleistung</w:t>
            </w:r>
          </w:p>
        </w:tc>
        <w:tc>
          <w:tcPr>
            <w:tcW w:type="dxa" w:w="40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Technikerin im Rollout, Entwickler, Helpdesk</w:t>
            </w:r>
          </w:p>
        </w:tc>
      </w:tr>
      <w:tr>
        <w:tc>
          <w:tcPr>
            <w:tcW w:type="dxa" w:w="20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Arbeit (dispositiv)</w:t>
            </w:r>
          </w:p>
        </w:tc>
        <w:tc>
          <w:tcPr>
            <w:tcW w:type="dxa" w:w="30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Planen, Organisieren, Leiten, Kontrollieren</w:t>
            </w:r>
          </w:p>
        </w:tc>
        <w:tc>
          <w:tcPr>
            <w:tcW w:type="dxa" w:w="40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Projektleitung, Geschäftsführung</w:t>
            </w:r>
          </w:p>
        </w:tc>
      </w:tr>
      <w:tr>
        <w:tc>
          <w:tcPr>
            <w:tcW w:type="dxa" w:w="2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Betriebsmittel</w:t>
            </w:r>
          </w:p>
        </w:tc>
        <w:tc>
          <w:tcPr>
            <w:tcW w:type="dxa" w:w="3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Dauerhaft nutzbare Mittel</w:t>
            </w:r>
          </w:p>
        </w:tc>
        <w:tc>
          <w:tcPr>
            <w:tcW w:type="dxa" w:w="40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Gebäude, Server, Werkzeuge, Fahrzeuge</w:t>
            </w:r>
          </w:p>
        </w:tc>
      </w:tr>
      <w:tr>
        <w:tc>
          <w:tcPr>
            <w:tcW w:type="dxa" w:w="20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Werkstoffe</w:t>
            </w:r>
          </w:p>
        </w:tc>
        <w:tc>
          <w:tcPr>
            <w:tcW w:type="dxa" w:w="30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Roh-, Hilfs- und Betriebsstoffe</w:t>
            </w:r>
          </w:p>
        </w:tc>
        <w:tc>
          <w:tcPr>
            <w:tcW w:type="dxa" w:w="40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Kabel, Steckverbinder, Verbrauchsmaterial, Strom</w:t>
            </w:r>
          </w:p>
        </w:tc>
      </w:tr>
      <w:tr>
        <w:tc>
          <w:tcPr>
            <w:tcW w:type="dxa" w:w="2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Information</w:t>
            </w:r>
          </w:p>
        </w:tc>
        <w:tc>
          <w:tcPr>
            <w:tcW w:type="dxa" w:w="3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Wissen und Daten als eigener Faktor</w:t>
            </w:r>
          </w:p>
        </w:tc>
        <w:tc>
          <w:tcPr>
            <w:tcW w:type="dxa" w:w="40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Kundendokumentation, Wissensdatenbank, Know-how</w:t>
            </w:r>
          </w:p>
        </w:tc>
      </w:tr>
      <w:tr>
        <w:tc>
          <w:tcPr>
            <w:tcW w:type="dxa" w:w="20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Kapital</w:t>
            </w:r>
          </w:p>
        </w:tc>
        <w:tc>
          <w:tcPr>
            <w:tcW w:type="dxa" w:w="30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Eigen- und Fremdkapital</w:t>
            </w:r>
          </w:p>
        </w:tc>
        <w:tc>
          <w:tcPr>
            <w:tcW w:type="dxa" w:w="40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Stammkapital, Bankdarlehen für Hardware</w:t>
            </w:r>
          </w:p>
        </w:tc>
      </w:tr>
    </w:tbl>
    <w:p>
      <w:pPr>
        <w:spacing w:after="140"/>
      </w:pPr>
    </w:p>
    <w:tbl>
      <w:tblPr>
        <w:tblW w:type="dxa" w:w="9020"/>
        <w:tblBorders>
          <w:top w:val="none"/>
          <w:left w:val="single" w:color="003366" w:sz="18"/>
          <w:bottom w:val="none"/>
          <w:right w:val="none"/>
          <w:insideH w:val="none"/>
          <w:insideV w:val="none"/>
        </w:tblBorders>
        <w:tblLayout w:type="fixed"/>
      </w:tblPr>
      <w:tblGrid>
        <w:gridCol w:w="9020"/>
      </w:tblGrid>
      <w:tr>
        <w:tc>
          <w:tcPr>
            <w:tcW w:type="dxa" w:w="9020"/>
            <w:shd w:fill="D6E4F0"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Merke</w:t>
            </w:r>
          </w:p>
          <w:p>
            <w:pPr>
              <w:spacing w:after="40"/>
            </w:pPr>
            <w:r>
              <w:rPr>
                <w:rFonts w:ascii="Calibri" w:cs="Calibri" w:eastAsia="Calibri" w:hAnsi="Calibri"/>
                <w:sz w:val="21"/>
                <w:szCs w:val="21"/>
              </w:rPr>
              <w:t xml:space="preserve">Elementarfaktoren sind ausführende Arbeit, Betriebsmittel und Werkstoffe. Der dispositive Faktor kombiniert sie. Im IT-Dienstleistungsbetrieb ist die Information häufig wertvoller als die Hardware.</w:t>
            </w:r>
          </w:p>
        </w:tc>
      </w:tr>
    </w:tbl>
    <w:p>
      <w:pPr>
        <w:spacing w:after="140"/>
      </w:pPr>
    </w:p>
    <w:p>
      <w:pPr>
        <w:pStyle w:val="Heading2"/>
        <w:spacing w:after="120" w:before="280"/>
      </w:pPr>
      <w:r>
        <w:rPr>
          <w:rFonts w:ascii="Calibri" w:cs="Calibri" w:eastAsia="Calibri" w:hAnsi="Calibri"/>
          <w:b/>
          <w:bCs/>
          <w:color w:val="0066AA"/>
          <w:sz w:val="26"/>
          <w:szCs w:val="26"/>
        </w:rPr>
        <w:t xml:space="preserve">2 Güterarten und Organisationsmittel</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400"/>
        <w:gridCol w:w="3200"/>
        <w:gridCol w:w="3420"/>
      </w:tblGrid>
      <w:tr>
        <w:trPr>
          <w:tblHeader/>
        </w:trPr>
        <w:tc>
          <w:tcPr>
            <w:tcW w:type="dxa" w:w="2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Gütergruppe</w:t>
            </w:r>
          </w:p>
        </w:tc>
        <w:tc>
          <w:tcPr>
            <w:tcW w:type="dxa" w:w="3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Unterteilung</w:t>
            </w:r>
          </w:p>
        </w:tc>
        <w:tc>
          <w:tcPr>
            <w:tcW w:type="dxa" w:w="34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Beispiel</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Materielle Güter</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Gebrauchsgüter – mehrfach nutzbar</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Notebook, Server, Werkzeug</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Materielle Güter</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Verbrauchsgüter – einmalig nutzbar</w:t>
            </w:r>
          </w:p>
        </w:tc>
        <w:tc>
          <w:tcPr>
            <w:tcW w:type="dxa" w:w="3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Toner, Kabelbinder, Strom</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Immaterielle Güter</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Dienstleistungen</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Beratung, Wartung, Support</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Immaterielle Güter</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Rechte</w:t>
            </w:r>
          </w:p>
        </w:tc>
        <w:tc>
          <w:tcPr>
            <w:tcW w:type="dxa" w:w="3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Lizenzen, Patente, Nutzungsrechte</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Freie Güter</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Nicht knapp, ohne Preis</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Luft, Sonnenlicht</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Wirtschaftsgüter</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Knapp, mit Preis</w:t>
            </w:r>
          </w:p>
        </w:tc>
        <w:tc>
          <w:tcPr>
            <w:tcW w:type="dxa" w:w="3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Hardware, Software, IT-Dienstleistungen</w:t>
            </w:r>
          </w:p>
        </w:tc>
      </w:tr>
    </w:tbl>
    <w:p>
      <w:pPr>
        <w:spacing w:after="140"/>
      </w:pPr>
    </w:p>
    <w:p>
      <w:pPr>
        <w:spacing w:after="120"/>
      </w:pPr>
      <w:r>
        <w:rPr>
          <w:rFonts w:ascii="Calibri" w:cs="Calibri" w:eastAsia="Calibri" w:hAnsi="Calibri"/>
          <w:b w:val="false"/>
          <w:bCs w:val="false"/>
          <w:i w:val="false"/>
          <w:iCs w:val="false"/>
          <w:color w:val="1A1A1A"/>
          <w:sz w:val="22"/>
          <w:szCs w:val="22"/>
        </w:rPr>
        <w:t xml:space="preserve">Organisationsmittel unterstützen die betrieblichen Abläufe: Formulare, Checklisten, Organigramme, Stellenbeschreibungen, Ticket- und ERP-Systeme.</w:t>
      </w:r>
    </w:p>
    <w:p>
      <w:pPr>
        <w:pStyle w:val="Heading2"/>
        <w:spacing w:after="120" w:before="280"/>
      </w:pPr>
      <w:r>
        <w:rPr>
          <w:rFonts w:ascii="Calibri" w:cs="Calibri" w:eastAsia="Calibri" w:hAnsi="Calibri"/>
          <w:b/>
          <w:bCs/>
          <w:color w:val="0066AA"/>
          <w:sz w:val="26"/>
          <w:szCs w:val="26"/>
        </w:rPr>
        <w:t xml:space="preserve">3 Wertschöpfung</w:t>
      </w:r>
    </w:p>
    <w:tbl>
      <w:tblPr>
        <w:tblW w:type="dxa" w:w="9020"/>
        <w:tblBorders>
          <w:top w:val="none"/>
          <w:left w:val="single" w:color="003366" w:sz="18"/>
          <w:bottom w:val="none"/>
          <w:right w:val="none"/>
          <w:insideH w:val="none"/>
          <w:insideV w:val="none"/>
        </w:tblBorders>
        <w:tblLayout w:type="fixed"/>
      </w:tblPr>
      <w:tblGrid>
        <w:gridCol w:w="9020"/>
      </w:tblGrid>
      <w:tr>
        <w:tc>
          <w:tcPr>
            <w:tcW w:type="dxa" w:w="9020"/>
            <w:shd w:fill="D6E4F0"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Merke</w:t>
            </w:r>
          </w:p>
          <w:p>
            <w:pPr>
              <w:spacing w:after="40"/>
            </w:pPr>
            <w:r>
              <w:rPr>
                <w:rFonts w:ascii="Calibri" w:cs="Calibri" w:eastAsia="Calibri" w:hAnsi="Calibri"/>
                <w:sz w:val="21"/>
                <w:szCs w:val="21"/>
              </w:rPr>
              <w:t xml:space="preserve">Wertschöpfung = Wert der erstellten Leistung − Wert der eingesetzten Vorleistungen.</w:t>
            </w:r>
          </w:p>
          <w:p>
            <w:pPr>
              <w:spacing w:after="40"/>
            </w:pPr>
            <w:r>
              <w:rPr>
                <w:rFonts w:ascii="Calibri" w:cs="Calibri" w:eastAsia="Calibri" w:hAnsi="Calibri"/>
                <w:sz w:val="21"/>
                <w:szCs w:val="21"/>
              </w:rPr>
              <w:t xml:space="preserve">Aus der Wertschöpfung werden bezahlt: Löhne und Gehälter (Mitarbeitende), Steuern (Staat), Zinsen (Banken) und Gewinn (Eigentümer).</w:t>
            </w:r>
          </w:p>
        </w:tc>
      </w:tr>
    </w:tbl>
    <w:p>
      <w:pPr>
        <w:spacing w:after="140"/>
      </w:pPr>
    </w:p>
    <w:p>
      <w:pPr>
        <w:spacing w:after="120"/>
      </w:pPr>
      <w:r>
        <w:rPr>
          <w:rFonts w:ascii="Calibri" w:cs="Calibri" w:eastAsia="Calibri" w:hAnsi="Calibri"/>
          <w:b w:val="false"/>
          <w:bCs w:val="false"/>
          <w:i w:val="false"/>
          <w:iCs w:val="false"/>
          <w:color w:val="1A1A1A"/>
          <w:sz w:val="22"/>
          <w:szCs w:val="22"/>
        </w:rPr>
        <w:t xml:space="preserve">Vorleistungen sind alle Güter und Leistungen, die von anderen Unternehmen bezogen werden: Hardware, Lizenzen, Fremdleistungen von Subunternehmern, Energie. Ein Systemhaus mit hohem Handelsanteil hat deshalb einen hohen Umsatz bei vergleichsweise geringer Wertschöpfung – der Weiterverkauf einer Serverlieferung schafft kaum eigenen Wert.</w:t>
      </w:r>
    </w:p>
    <w:p>
      <w:pPr>
        <w:pStyle w:val="Heading3"/>
        <w:spacing w:after="80" w:before="200"/>
      </w:pPr>
      <w:r>
        <w:rPr>
          <w:rFonts w:ascii="Calibri" w:cs="Calibri" w:eastAsia="Calibri" w:hAnsi="Calibri"/>
          <w:b/>
          <w:bCs/>
          <w:color w:val="003366"/>
          <w:sz w:val="23"/>
          <w:szCs w:val="23"/>
        </w:rPr>
        <w:t xml:space="preserve">3.1 Die Wertschöpfungskette</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1800"/>
        <w:gridCol w:w="3800"/>
        <w:gridCol w:w="3420"/>
      </w:tblGrid>
      <w:tr>
        <w:trPr>
          <w:tblHeader/>
        </w:trPr>
        <w:tc>
          <w:tcPr>
            <w:tcW w:type="dxa" w:w="18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Stufe</w:t>
            </w:r>
          </w:p>
        </w:tc>
        <w:tc>
          <w:tcPr>
            <w:tcW w:type="dxa" w:w="38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Beitrag</w:t>
            </w:r>
          </w:p>
        </w:tc>
        <w:tc>
          <w:tcPr>
            <w:tcW w:type="dxa" w:w="34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Wertanteil</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Beratung</w:t>
            </w:r>
          </w:p>
        </w:tc>
        <w:tc>
          <w:tcPr>
            <w:tcW w:type="dxa" w:w="3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Bedarf verstehen, Lösung entwerfen</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Hoch – schwer ersetzbares Wissen</w:t>
            </w:r>
          </w:p>
        </w:tc>
      </w:tr>
      <w:tr>
        <w:tc>
          <w:tcPr>
            <w:tcW w:type="dxa" w:w="1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Planung</w:t>
            </w:r>
          </w:p>
        </w:tc>
        <w:tc>
          <w:tcPr>
            <w:tcW w:type="dxa" w:w="3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Architektur, Dimensionierung, Konzept</w:t>
            </w:r>
          </w:p>
        </w:tc>
        <w:tc>
          <w:tcPr>
            <w:tcW w:type="dxa" w:w="3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Hoch</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Beschaffung</w:t>
            </w:r>
          </w:p>
        </w:tc>
        <w:tc>
          <w:tcPr>
            <w:tcW w:type="dxa" w:w="3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Auswahl und Einkauf der Komponenten</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Gering – Details in Modul B</w:t>
            </w:r>
          </w:p>
        </w:tc>
      </w:tr>
      <w:tr>
        <w:tc>
          <w:tcPr>
            <w:tcW w:type="dxa" w:w="1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Aufbau</w:t>
            </w:r>
          </w:p>
        </w:tc>
        <w:tc>
          <w:tcPr>
            <w:tcW w:type="dxa" w:w="3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Installation, Konfiguration, Migration</w:t>
            </w:r>
          </w:p>
        </w:tc>
        <w:tc>
          <w:tcPr>
            <w:tcW w:type="dxa" w:w="3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Mittel bis hoch</w:t>
            </w:r>
          </w:p>
        </w:tc>
      </w:tr>
      <w:tr>
        <w:tc>
          <w:tcPr>
            <w:tcW w:type="dxa" w:w="1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Betrieb</w:t>
            </w:r>
          </w:p>
        </w:tc>
        <w:tc>
          <w:tcPr>
            <w:tcW w:type="dxa" w:w="38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Monitoring, Wartung, Managed Services</w:t>
            </w:r>
          </w:p>
        </w:tc>
        <w:tc>
          <w:tcPr>
            <w:tcW w:type="dxa" w:w="34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Hoch – wiederkehrende Erlöse</w:t>
            </w:r>
          </w:p>
        </w:tc>
      </w:tr>
      <w:tr>
        <w:tc>
          <w:tcPr>
            <w:tcW w:type="dxa" w:w="1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Support</w:t>
            </w:r>
          </w:p>
        </w:tc>
        <w:tc>
          <w:tcPr>
            <w:tcW w:type="dxa" w:w="38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Störungsbearbeitung, Anwenderbetreuung</w:t>
            </w:r>
          </w:p>
        </w:tc>
        <w:tc>
          <w:tcPr>
            <w:tcW w:type="dxa" w:w="34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Hoch – Kundenbindung</w:t>
            </w:r>
          </w:p>
        </w:tc>
      </w:tr>
    </w:tbl>
    <w:p>
      <w:pPr>
        <w:spacing w:after="140"/>
      </w:pPr>
    </w:p>
    <w:p>
      <w:pPr>
        <w:spacing w:after="120"/>
      </w:pPr>
      <w:r>
        <w:rPr>
          <w:rFonts w:ascii="Calibri" w:cs="Calibri" w:eastAsia="Calibri" w:hAnsi="Calibri"/>
          <w:b w:val="false"/>
          <w:bCs w:val="false"/>
          <w:i w:val="false"/>
          <w:iCs w:val="false"/>
          <w:color w:val="1A1A1A"/>
          <w:sz w:val="22"/>
          <w:szCs w:val="22"/>
        </w:rPr>
        <w:t xml:space="preserve">Unterstützende Aktivitäten wie Personalwesen, Rechnungswesen, interne IT und Qualitätsmanagement sind notwendig, aber nicht unmittelbar wertschöpfend. Sie entsprechen den Supportprozessen.</w:t>
      </w:r>
    </w:p>
    <w:p>
      <w:pPr>
        <w:pStyle w:val="Heading2"/>
        <w:spacing w:after="120" w:before="280"/>
      </w:pPr>
      <w:r>
        <w:rPr>
          <w:rFonts w:ascii="Calibri" w:cs="Calibri" w:eastAsia="Calibri" w:hAnsi="Calibri"/>
          <w:b/>
          <w:bCs/>
          <w:color w:val="0066AA"/>
          <w:sz w:val="26"/>
          <w:szCs w:val="26"/>
        </w:rPr>
        <w:t xml:space="preserve">4 Digitalisierung und digitale Transformation</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200"/>
        <w:gridCol w:w="3600"/>
        <w:gridCol w:w="3220"/>
      </w:tblGrid>
      <w:tr>
        <w:trPr>
          <w:tblHeader/>
        </w:trPr>
        <w:tc>
          <w:tcPr>
            <w:tcW w:type="dxa" w:w="2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Begriff</w:t>
            </w:r>
          </w:p>
        </w:tc>
        <w:tc>
          <w:tcPr>
            <w:tcW w:type="dxa" w:w="36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Kern</w:t>
            </w:r>
          </w:p>
        </w:tc>
        <w:tc>
          <w:tcPr>
            <w:tcW w:type="dxa" w:w="32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Beispiel</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Digitalisierung</w:t>
            </w:r>
          </w:p>
        </w:tc>
        <w:tc>
          <w:tcPr>
            <w:tcW w:type="dxa" w:w="3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Analoge Informationen und Abläufe werden digital abgebildet; der Ablauf selbst bleibt gleich</w:t>
            </w:r>
          </w:p>
        </w:tc>
        <w:tc>
          <w:tcPr>
            <w:tcW w:type="dxa" w:w="32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Papierakten scannen, Ticket statt Zuruf</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Digitale Transformation</w:t>
            </w:r>
          </w:p>
        </w:tc>
        <w:tc>
          <w:tcPr>
            <w:tcW w:type="dxa" w:w="3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Geschäftsmodell, Prozesse, Produkte und Kultur verändern sich grundlegend</w:t>
            </w:r>
          </w:p>
        </w:tc>
        <w:tc>
          <w:tcPr>
            <w:tcW w:type="dxa" w:w="32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Vom Hardwareverkauf zu Managed Services mit monatlichen Erlösen</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Disruption</w:t>
            </w:r>
          </w:p>
        </w:tc>
        <w:tc>
          <w:tcPr>
            <w:tcW w:type="dxa" w:w="36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Ein neues Modell verdrängt das bestehende vollständig</w:t>
            </w:r>
          </w:p>
        </w:tc>
        <w:tc>
          <w:tcPr>
            <w:tcW w:type="dxa" w:w="32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Cloud statt eigenem Serverraum, Streaming statt Videothek</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Digitale Ökosysteme</w:t>
            </w:r>
          </w:p>
        </w:tc>
        <w:tc>
          <w:tcPr>
            <w:tcW w:type="dxa" w:w="36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Vernetzte Plattformen und Dienste eines Anbieters</w:t>
            </w:r>
          </w:p>
        </w:tc>
        <w:tc>
          <w:tcPr>
            <w:tcW w:type="dxa" w:w="32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Konto, Cloud, Endgeräte und Assistenzdienste aus einer Hand</w:t>
            </w:r>
          </w:p>
        </w:tc>
      </w:tr>
    </w:tbl>
    <w:p>
      <w:pPr>
        <w:spacing w:after="140"/>
      </w:pPr>
    </w:p>
    <w:tbl>
      <w:tblPr>
        <w:tblW w:type="dxa" w:w="9020"/>
        <w:tblBorders>
          <w:top w:val="none"/>
          <w:left w:val="single" w:color="F0A500" w:sz="18"/>
          <w:bottom w:val="none"/>
          <w:right w:val="none"/>
          <w:insideH w:val="none"/>
          <w:insideV w:val="none"/>
        </w:tblBorders>
        <w:tblLayout w:type="fixed"/>
      </w:tblPr>
      <w:tblGrid>
        <w:gridCol w:w="9020"/>
      </w:tblGrid>
      <w:tr>
        <w:tc>
          <w:tcPr>
            <w:tcW w:type="dxa" w:w="9020"/>
            <w:shd w:fill="FFF4DC"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Typische Prüfungsfalle</w:t>
            </w:r>
          </w:p>
          <w:p>
            <w:pPr>
              <w:spacing w:after="40"/>
            </w:pPr>
            <w:r>
              <w:rPr>
                <w:rFonts w:ascii="Calibri" w:cs="Calibri" w:eastAsia="Calibri" w:hAnsi="Calibri"/>
                <w:sz w:val="21"/>
                <w:szCs w:val="21"/>
              </w:rPr>
              <w:t xml:space="preserve">Faustregel für die Prüfung: Digitalisierung macht dasselbe anders. Transformation macht etwas anderes. Disruption macht das Alte überflüssig. Wer "wir haben jetzt ein Ticketsystem" als Transformation bezeichnet, verwechselt die erste mit der zweiten Stufe.</w:t>
            </w:r>
          </w:p>
        </w:tc>
      </w:tr>
    </w:tbl>
    <w:p>
      <w:pPr>
        <w:spacing w:after="140"/>
      </w:pPr>
    </w:p>
    <w:p>
      <w:pPr>
        <w:spacing w:after="120"/>
      </w:pPr>
      <w:r>
        <w:rPr>
          <w:rFonts w:ascii="Calibri" w:cs="Calibri" w:eastAsia="Calibri" w:hAnsi="Calibri"/>
          <w:b w:val="false"/>
          <w:bCs w:val="false"/>
          <w:i w:val="false"/>
          <w:iCs w:val="false"/>
          <w:color w:val="1A1A1A"/>
          <w:sz w:val="22"/>
          <w:szCs w:val="22"/>
        </w:rPr>
        <w:t xml:space="preserve">Plattformen verbinden Anbieter und Nachfrager und verdienen an der Vermittlung. Für Kunden ist ein Ökosystem bequem, zugleich entsteht Abhängigkeit von einem Anbieter. Für ein Systemhaus gehört deshalb die Beratung zu Datenportabilität und Ausstiegsszenarien zum Angebot: Wer eine Plattform verlassen will, scheitert selten an der Technik und meistens an Daten und Verträgen.</w:t>
      </w:r>
    </w:p>
    <w:p>
      <w:pPr>
        <w:pStyle w:val="Heading2"/>
        <w:spacing w:after="120" w:before="280"/>
      </w:pPr>
      <w:r>
        <w:rPr>
          <w:rFonts w:ascii="Calibri" w:cs="Calibri" w:eastAsia="Calibri" w:hAnsi="Calibri"/>
          <w:b/>
          <w:bCs/>
          <w:color w:val="0066AA"/>
          <w:sz w:val="26"/>
          <w:szCs w:val="26"/>
        </w:rPr>
        <w:t xml:space="preserve">5 Geschäftsprozesse</w:t>
      </w:r>
    </w:p>
    <w:p>
      <w:pPr>
        <w:spacing w:after="120"/>
      </w:pPr>
      <w:r>
        <w:rPr>
          <w:rFonts w:ascii="Calibri" w:cs="Calibri" w:eastAsia="Calibri" w:hAnsi="Calibri"/>
          <w:b w:val="false"/>
          <w:bCs w:val="false"/>
          <w:i w:val="false"/>
          <w:iCs w:val="false"/>
          <w:color w:val="1A1A1A"/>
          <w:sz w:val="22"/>
          <w:szCs w:val="22"/>
        </w:rPr>
        <w:t xml:space="preserve">Ein Geschäftsprozess ist die zeitliche und sachlogische Abfolge von Aktivitäten zur Erreichung von Unternehmenszielen. Er greift auf Ressourcen zu: Organisationseinheiten, Betriebsmittel und Daten. Jeder Prozess hat vier Bestandteile: einen Auslöser, Aktivitäten, ein Ergebnis und einen Prozesskunden, der das Ergebnis empfängt.</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200"/>
        <w:gridCol w:w="3200"/>
        <w:gridCol w:w="3620"/>
      </w:tblGrid>
      <w:tr>
        <w:trPr>
          <w:tblHeader/>
        </w:trPr>
        <w:tc>
          <w:tcPr>
            <w:tcW w:type="dxa" w:w="2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Prozessart</w:t>
            </w:r>
          </w:p>
        </w:tc>
        <w:tc>
          <w:tcPr>
            <w:tcW w:type="dxa" w:w="3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Merkmal</w:t>
            </w:r>
          </w:p>
        </w:tc>
        <w:tc>
          <w:tcPr>
            <w:tcW w:type="dxa" w:w="3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Beispiel</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Kernprozess</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Kundennah und wertschöpfungsintensiv</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Störungsbearbeitung, Projektabwicklung, Betrieb der Kundensysteme</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Supportprozess</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Nicht wertschöpfend, aber notwendig</w:t>
            </w:r>
          </w:p>
        </w:tc>
        <w:tc>
          <w:tcPr>
            <w:tcW w:type="dxa" w:w="3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Buchhaltung, Personalwesen, interne IT</w:t>
            </w:r>
          </w:p>
        </w:tc>
      </w:tr>
      <w:tr>
        <w:tc>
          <w:tcPr>
            <w:tcW w:type="dxa" w:w="2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Managementprozess</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Steuernd und planend</w:t>
            </w:r>
          </w:p>
        </w:tc>
        <w:tc>
          <w:tcPr>
            <w:tcW w:type="dxa" w:w="3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Zielplanung, Controlling, Qualitätsmanagement</w:t>
            </w:r>
          </w:p>
        </w:tc>
      </w:tr>
      <w:tr>
        <w:tc>
          <w:tcPr>
            <w:tcW w:type="dxa" w:w="2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Workflow</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Rechnergestützter, weitgehend automatisierter Teilprozess</w:t>
            </w:r>
          </w:p>
        </w:tc>
        <w:tc>
          <w:tcPr>
            <w:tcW w:type="dxa" w:w="3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Automatische Ticketzuweisung, Freigabeschleife</w:t>
            </w:r>
          </w:p>
        </w:tc>
      </w:tr>
    </w:tbl>
    <w:p>
      <w:pPr>
        <w:spacing w:after="140"/>
      </w:pPr>
    </w:p>
    <w:p>
      <w:pPr>
        <w:pStyle w:val="Heading3"/>
        <w:spacing w:after="80" w:before="200"/>
      </w:pPr>
      <w:r>
        <w:rPr>
          <w:rFonts w:ascii="Calibri" w:cs="Calibri" w:eastAsia="Calibri" w:hAnsi="Calibri"/>
          <w:b/>
          <w:bCs/>
          <w:color w:val="003366"/>
          <w:sz w:val="23"/>
          <w:szCs w:val="23"/>
        </w:rPr>
        <w:t xml:space="preserve">5.1 Prozesse darstellen</w:t>
      </w:r>
    </w:p>
    <w:p>
      <w:pPr>
        <w:spacing w:after="120"/>
      </w:pPr>
      <w:r>
        <w:rPr>
          <w:rFonts w:ascii="Calibri" w:cs="Calibri" w:eastAsia="Calibri" w:hAnsi="Calibri"/>
          <w:b w:val="false"/>
          <w:bCs w:val="false"/>
          <w:i w:val="false"/>
          <w:iCs w:val="false"/>
          <w:color w:val="1A1A1A"/>
          <w:sz w:val="22"/>
          <w:szCs w:val="22"/>
        </w:rPr>
        <w:t xml:space="preserve">Die Swimlane-Darstellung ordnet jede Rolle einer Zeile zu und die Aktivitäten von links nach rechts. Sie macht sichtbar, wo Übergaben stattfinden – und genau dort liegen die Schnittstellen.</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000"/>
        <w:gridCol w:w="5020"/>
        <w:gridCol w:w="2000"/>
      </w:tblGrid>
      <w:tr>
        <w:trPr>
          <w:tblHeader/>
        </w:trPr>
        <w:tc>
          <w:tcPr>
            <w:tcW w:type="dxa" w:w="20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Rolle</w:t>
            </w:r>
          </w:p>
        </w:tc>
        <w:tc>
          <w:tcPr>
            <w:tcW w:type="dxa" w:w="50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Aktivität</w:t>
            </w:r>
          </w:p>
        </w:tc>
        <w:tc>
          <w:tcPr>
            <w:tcW w:type="dxa" w:w="20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Reihenfolge</w:t>
            </w:r>
          </w:p>
        </w:tc>
      </w:tr>
      <w:tr>
        <w:tc>
          <w:tcPr>
            <w:tcW w:type="dxa" w:w="2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Kunde</w:t>
            </w:r>
          </w:p>
        </w:tc>
        <w:tc>
          <w:tcPr>
            <w:tcW w:type="dxa" w:w="50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Störung melden</w:t>
            </w:r>
          </w:p>
        </w:tc>
        <w:tc>
          <w:tcPr>
            <w:tcW w:type="dxa" w:w="2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1</w:t>
            </w:r>
          </w:p>
        </w:tc>
      </w:tr>
      <w:tr>
        <w:tc>
          <w:tcPr>
            <w:tcW w:type="dxa" w:w="20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Helpdesk</w:t>
            </w:r>
          </w:p>
        </w:tc>
        <w:tc>
          <w:tcPr>
            <w:tcW w:type="dxa" w:w="50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Ticket aufnehmen</w:t>
            </w:r>
          </w:p>
        </w:tc>
        <w:tc>
          <w:tcPr>
            <w:tcW w:type="dxa" w:w="20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2</w:t>
            </w:r>
          </w:p>
        </w:tc>
      </w:tr>
      <w:tr>
        <w:tc>
          <w:tcPr>
            <w:tcW w:type="dxa" w:w="2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Helpdesk</w:t>
            </w:r>
          </w:p>
        </w:tc>
        <w:tc>
          <w:tcPr>
            <w:tcW w:type="dxa" w:w="50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Klassifizieren und priorisieren</w:t>
            </w:r>
          </w:p>
        </w:tc>
        <w:tc>
          <w:tcPr>
            <w:tcW w:type="dxa" w:w="2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3</w:t>
            </w:r>
          </w:p>
        </w:tc>
      </w:tr>
      <w:tr>
        <w:tc>
          <w:tcPr>
            <w:tcW w:type="dxa" w:w="20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Technik</w:t>
            </w:r>
          </w:p>
        </w:tc>
        <w:tc>
          <w:tcPr>
            <w:tcW w:type="dxa" w:w="50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Störung beheben</w:t>
            </w:r>
          </w:p>
        </w:tc>
        <w:tc>
          <w:tcPr>
            <w:tcW w:type="dxa" w:w="20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4</w:t>
            </w:r>
          </w:p>
        </w:tc>
      </w:tr>
      <w:tr>
        <w:tc>
          <w:tcPr>
            <w:tcW w:type="dxa" w:w="2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Helpdesk</w:t>
            </w:r>
          </w:p>
        </w:tc>
        <w:tc>
          <w:tcPr>
            <w:tcW w:type="dxa" w:w="50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Prüfen, dokumentieren, Ticket schließen</w:t>
            </w:r>
          </w:p>
        </w:tc>
        <w:tc>
          <w:tcPr>
            <w:tcW w:type="dxa" w:w="2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5</w:t>
            </w:r>
          </w:p>
        </w:tc>
      </w:tr>
    </w:tbl>
    <w:p>
      <w:pPr>
        <w:spacing w:after="140"/>
      </w:pPr>
    </w:p>
    <w:p>
      <w:pPr>
        <w:pStyle w:val="Heading3"/>
        <w:spacing w:after="80" w:before="200"/>
      </w:pPr>
      <w:r>
        <w:rPr>
          <w:rFonts w:ascii="Calibri" w:cs="Calibri" w:eastAsia="Calibri" w:hAnsi="Calibri"/>
          <w:b/>
          <w:bCs/>
          <w:color w:val="003366"/>
          <w:sz w:val="23"/>
          <w:szCs w:val="23"/>
        </w:rPr>
        <w:t xml:space="preserve">5.2 Prozesskennzahlen</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400"/>
        <w:gridCol w:w="6620"/>
      </w:tblGrid>
      <w:tr>
        <w:trPr>
          <w:tblHeader/>
        </w:trPr>
        <w:tc>
          <w:tcPr>
            <w:tcW w:type="dxa" w:w="2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Kennzahl</w:t>
            </w:r>
          </w:p>
        </w:tc>
        <w:tc>
          <w:tcPr>
            <w:tcW w:type="dxa" w:w="6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Aussage</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Durchlaufzeit</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Zeit vom Auslöser bis zum Ergebnis</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Termintreue</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Anteil fristgerecht erledigter Vorgänge</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Fehlerquote</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Anteil fehlerhafter oder nachzuarbeitender Ergebnisse</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Kosten je Vorgang</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Aufwand geteilt durch Anzahl der Vorgänge</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Auslastung</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Verhältnis von Belegung zu verfügbarer Kapazität</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Kundenzufriedenheit</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Bewertung nach Abschluss des Vorgangs</w:t>
            </w:r>
          </w:p>
        </w:tc>
      </w:tr>
    </w:tbl>
    <w:p>
      <w:pPr>
        <w:spacing w:after="140"/>
      </w:pPr>
    </w:p>
    <w:tbl>
      <w:tblPr>
        <w:tblW w:type="dxa" w:w="9020"/>
        <w:tblBorders>
          <w:top w:val="none"/>
          <w:left w:val="single" w:color="003366" w:sz="18"/>
          <w:bottom w:val="none"/>
          <w:right w:val="none"/>
          <w:insideH w:val="none"/>
          <w:insideV w:val="none"/>
        </w:tblBorders>
        <w:tblLayout w:type="fixed"/>
      </w:tblPr>
      <w:tblGrid>
        <w:gridCol w:w="9020"/>
      </w:tblGrid>
      <w:tr>
        <w:tc>
          <w:tcPr>
            <w:tcW w:type="dxa" w:w="9020"/>
            <w:shd w:fill="D6E4F0"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Merke</w:t>
            </w:r>
          </w:p>
          <w:p>
            <w:pPr>
              <w:spacing w:after="40"/>
            </w:pPr>
            <w:r>
              <w:rPr>
                <w:rFonts w:ascii="Calibri" w:cs="Calibri" w:eastAsia="Calibri" w:hAnsi="Calibri"/>
                <w:sz w:val="21"/>
                <w:szCs w:val="21"/>
              </w:rPr>
              <w:t xml:space="preserve">Schnittstellen sind die teuersten Stellen im Prozess: Dort entstehen Wartezeiten, Informationsverluste und Fehler. Wer einen Prozess verbessern will, sieht zuerst dort nach – nicht bei der Bearbeitungsgeschwindigkeit der Einzelnen.</w:t>
            </w:r>
          </w:p>
        </w:tc>
      </w:tr>
    </w:tbl>
    <w:p>
      <w:pPr>
        <w:spacing w:after="140"/>
      </w:pPr>
    </w:p>
    <w:p>
      <w:pPr>
        <w:pStyle w:val="Heading2"/>
        <w:spacing w:after="120" w:before="280"/>
      </w:pPr>
      <w:r>
        <w:rPr>
          <w:rFonts w:ascii="Calibri" w:cs="Calibri" w:eastAsia="Calibri" w:hAnsi="Calibri"/>
          <w:b/>
          <w:bCs/>
          <w:color w:val="0066AA"/>
          <w:sz w:val="26"/>
          <w:szCs w:val="26"/>
        </w:rPr>
        <w:t xml:space="preserve">6 Integrierte Anwendungssysteme</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1500"/>
        <w:gridCol w:w="3200"/>
        <w:gridCol w:w="4320"/>
      </w:tblGrid>
      <w:tr>
        <w:trPr>
          <w:tblHeader/>
        </w:trPr>
        <w:tc>
          <w:tcPr>
            <w:tcW w:type="dxa" w:w="15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System</w:t>
            </w:r>
          </w:p>
        </w:tc>
        <w:tc>
          <w:tcPr>
            <w:tcW w:type="dxa" w:w="32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Bedeutung</w:t>
            </w:r>
          </w:p>
        </w:tc>
        <w:tc>
          <w:tcPr>
            <w:tcW w:type="dxa" w:w="43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Aufgabe</w:t>
            </w:r>
          </w:p>
        </w:tc>
      </w:tr>
      <w:tr>
        <w:tc>
          <w:tcPr>
            <w:tcW w:type="dxa" w:w="15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ERP</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Enterprise-Resource-Planning</w:t>
            </w:r>
          </w:p>
        </w:tc>
        <w:tc>
          <w:tcPr>
            <w:tcW w:type="dxa" w:w="43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Zentrale Verwaltung der eigenen Ressourcen: Lager, Aufträge, Personal, Rechnungswesen</w:t>
            </w:r>
          </w:p>
        </w:tc>
      </w:tr>
      <w:tr>
        <w:tc>
          <w:tcPr>
            <w:tcW w:type="dxa" w:w="15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CRM</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Customer-Relationship-Management</w:t>
            </w:r>
          </w:p>
        </w:tc>
        <w:tc>
          <w:tcPr>
            <w:tcW w:type="dxa" w:w="43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Kundendaten, Kontakthistorie, Verkaufschancen, Kampagnen</w:t>
            </w:r>
          </w:p>
        </w:tc>
      </w:tr>
      <w:tr>
        <w:tc>
          <w:tcPr>
            <w:tcW w:type="dxa" w:w="15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SCM</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Supply-Chain-Management</w:t>
            </w:r>
          </w:p>
        </w:tc>
        <w:tc>
          <w:tcPr>
            <w:tcW w:type="dxa" w:w="43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Integrierte Material- und Informationsflüsse in der Lieferkette</w:t>
            </w:r>
          </w:p>
        </w:tc>
      </w:tr>
      <w:tr>
        <w:tc>
          <w:tcPr>
            <w:tcW w:type="dxa" w:w="15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SRM</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Supplier-Relationship-Management</w:t>
            </w:r>
          </w:p>
        </w:tc>
        <w:tc>
          <w:tcPr>
            <w:tcW w:type="dxa" w:w="43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Steuerung der Lieferantenbeziehungen</w:t>
            </w:r>
          </w:p>
        </w:tc>
      </w:tr>
      <w:tr>
        <w:tc>
          <w:tcPr>
            <w:tcW w:type="dxa" w:w="15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E-Procurement</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Elektronische Beschaffung</w:t>
            </w:r>
          </w:p>
        </w:tc>
        <w:tc>
          <w:tcPr>
            <w:tcW w:type="dxa" w:w="43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Digitale Bestellprozesse – Vertiefung in Modul B</w:t>
            </w:r>
          </w:p>
        </w:tc>
      </w:tr>
      <w:tr>
        <w:tc>
          <w:tcPr>
            <w:tcW w:type="dxa" w:w="15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PPS</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Produktionsplanung und -steuerung</w:t>
            </w:r>
          </w:p>
        </w:tc>
        <w:tc>
          <w:tcPr>
            <w:tcW w:type="dxa" w:w="43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Planung und Steuerung von Fertigungsaufträgen</w:t>
            </w:r>
          </w:p>
        </w:tc>
      </w:tr>
      <w:tr>
        <w:tc>
          <w:tcPr>
            <w:tcW w:type="dxa" w:w="15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DMS</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Dokumentenmanagement</w:t>
            </w:r>
          </w:p>
        </w:tc>
        <w:tc>
          <w:tcPr>
            <w:tcW w:type="dxa" w:w="43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Elektronische Dokumente, Versionierung, Zugriffsrechte</w:t>
            </w:r>
          </w:p>
        </w:tc>
      </w:tr>
      <w:tr>
        <w:tc>
          <w:tcPr>
            <w:tcW w:type="dxa" w:w="15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EIM</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Enterprise-Information-Management</w:t>
            </w:r>
          </w:p>
        </w:tc>
        <w:tc>
          <w:tcPr>
            <w:tcW w:type="dxa" w:w="43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Ganzheitliche Informations- und Datenverwaltung</w:t>
            </w:r>
          </w:p>
        </w:tc>
      </w:tr>
      <w:tr>
        <w:tc>
          <w:tcPr>
            <w:tcW w:type="dxa" w:w="15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BPM</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Business-Process-Management</w:t>
            </w:r>
          </w:p>
        </w:tc>
        <w:tc>
          <w:tcPr>
            <w:tcW w:type="dxa" w:w="43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Prozesse modellieren, steuern, optimieren</w:t>
            </w:r>
          </w:p>
        </w:tc>
      </w:tr>
      <w:tr>
        <w:tc>
          <w:tcPr>
            <w:tcW w:type="dxa" w:w="15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BI</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Business-Intelligence</w:t>
            </w:r>
          </w:p>
        </w:tc>
        <w:tc>
          <w:tcPr>
            <w:tcW w:type="dxa" w:w="43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Auswertungen, Data Warehouse, Data Mining, Reports</w:t>
            </w:r>
          </w:p>
        </w:tc>
      </w:tr>
      <w:tr>
        <w:tc>
          <w:tcPr>
            <w:tcW w:type="dxa" w:w="15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SMM</w:t>
            </w:r>
          </w:p>
        </w:tc>
        <w:tc>
          <w:tcPr>
            <w:tcW w:type="dxa" w:w="32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Social-Media-Marketing</w:t>
            </w:r>
          </w:p>
        </w:tc>
        <w:tc>
          <w:tcPr>
            <w:tcW w:type="dxa" w:w="43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Marketing über soziale Netzwerke</w:t>
            </w:r>
          </w:p>
        </w:tc>
      </w:tr>
      <w:tr>
        <w:tc>
          <w:tcPr>
            <w:tcW w:type="dxa" w:w="15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CPM</w:t>
            </w:r>
          </w:p>
        </w:tc>
        <w:tc>
          <w:tcPr>
            <w:tcW w:type="dxa" w:w="32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Kollaboratives Projektmanagement</w:t>
            </w:r>
          </w:p>
        </w:tc>
        <w:tc>
          <w:tcPr>
            <w:tcW w:type="dxa" w:w="43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Planung und Koordination verteilter Projekte</w:t>
            </w:r>
          </w:p>
        </w:tc>
      </w:tr>
    </w:tbl>
    <w:p>
      <w:pPr>
        <w:spacing w:after="140"/>
      </w:pPr>
    </w:p>
    <w:tbl>
      <w:tblPr>
        <w:tblW w:type="dxa" w:w="9020"/>
        <w:tblBorders>
          <w:top w:val="none"/>
          <w:left w:val="single" w:color="003366" w:sz="18"/>
          <w:bottom w:val="none"/>
          <w:right w:val="none"/>
          <w:insideH w:val="none"/>
          <w:insideV w:val="none"/>
        </w:tblBorders>
        <w:tblLayout w:type="fixed"/>
      </w:tblPr>
      <w:tblGrid>
        <w:gridCol w:w="9020"/>
      </w:tblGrid>
      <w:tr>
        <w:tc>
          <w:tcPr>
            <w:tcW w:type="dxa" w:w="9020"/>
            <w:shd w:fill="D6E4F0" w:color="auto" w:val="clear"/>
            <w:tcMar>
              <w:top w:type="dxa" w:w="120"/>
              <w:left w:type="dxa" w:w="160"/>
              <w:bottom w:type="dxa" w:w="120"/>
              <w:right w:type="dxa" w:w="120"/>
            </w:tcMar>
          </w:tcPr>
          <w:p>
            <w:pPr>
              <w:spacing w:after="60"/>
            </w:pPr>
            <w:r>
              <w:rPr>
                <w:rFonts w:ascii="Calibri" w:cs="Calibri" w:eastAsia="Calibri" w:hAnsi="Calibri"/>
                <w:b/>
                <w:bCs/>
                <w:color w:val="003366"/>
                <w:sz w:val="21"/>
                <w:szCs w:val="21"/>
              </w:rPr>
              <w:t xml:space="preserve">Merke</w:t>
            </w:r>
          </w:p>
          <w:p>
            <w:pPr>
              <w:spacing w:after="40"/>
            </w:pPr>
            <w:r>
              <w:rPr>
                <w:rFonts w:ascii="Calibri" w:cs="Calibri" w:eastAsia="Calibri" w:hAnsi="Calibri"/>
                <w:sz w:val="21"/>
                <w:szCs w:val="21"/>
              </w:rPr>
              <w:t xml:space="preserve">Merkhilfe: ERP nach innen (eigene Ressourcen), CRM nach vorn (Kunden), SCM nach hinten (Lieferanten).</w:t>
            </w:r>
          </w:p>
          <w:p>
            <w:pPr>
              <w:spacing w:after="40"/>
            </w:pPr>
            <w:r>
              <w:rPr>
                <w:rFonts w:ascii="Calibri" w:cs="Calibri" w:eastAsia="Calibri" w:hAnsi="Calibri"/>
                <w:sz w:val="21"/>
                <w:szCs w:val="21"/>
              </w:rPr>
              <w:t xml:space="preserve">Der Nutzen entsteht aus der gemeinsamen Datenbasis: einmal erfassen statt mehrfach pflegen. Software allein ersetzt keinen sauberen Prozess.</w:t>
            </w:r>
          </w:p>
        </w:tc>
      </w:tr>
    </w:tbl>
    <w:p>
      <w:pPr>
        <w:spacing w:after="140"/>
      </w:pPr>
    </w:p>
    <w:p>
      <w:pPr>
        <w:pStyle w:val="Heading2"/>
        <w:spacing w:after="120" w:before="280"/>
      </w:pPr>
      <w:r>
        <w:rPr>
          <w:rFonts w:ascii="Calibri" w:cs="Calibri" w:eastAsia="Calibri" w:hAnsi="Calibri"/>
          <w:b/>
          <w:bCs/>
          <w:color w:val="0066AA"/>
          <w:sz w:val="26"/>
          <w:szCs w:val="26"/>
        </w:rPr>
        <w:t xml:space="preserve">7 Kurzcheck</w:t>
      </w:r>
    </w:p>
    <w:p>
      <w:pPr>
        <w:pStyle w:val="ListParagraph"/>
        <w:numPr>
          <w:ilvl w:val="0"/>
          <w:numId w:val="2"/>
        </w:numPr>
        <w:spacing w:after="60"/>
      </w:pPr>
      <w:r>
        <w:rPr>
          <w:rFonts w:ascii="Calibri" w:cs="Calibri" w:eastAsia="Calibri" w:hAnsi="Calibri"/>
          <w:sz w:val="22"/>
          <w:szCs w:val="22"/>
        </w:rPr>
        <w:t xml:space="preserve">Ich kann Elementarfaktoren und dispositiven Faktor unterscheiden.</w:t>
      </w:r>
    </w:p>
    <w:p>
      <w:pPr>
        <w:pStyle w:val="ListParagraph"/>
        <w:numPr>
          <w:ilvl w:val="0"/>
          <w:numId w:val="2"/>
        </w:numPr>
        <w:spacing w:after="60"/>
      </w:pPr>
      <w:r>
        <w:rPr>
          <w:rFonts w:ascii="Calibri" w:cs="Calibri" w:eastAsia="Calibri" w:hAnsi="Calibri"/>
          <w:sz w:val="22"/>
          <w:szCs w:val="22"/>
        </w:rPr>
        <w:t xml:space="preserve">Ich kann Güterarten zuordnen.</w:t>
      </w:r>
    </w:p>
    <w:p>
      <w:pPr>
        <w:pStyle w:val="ListParagraph"/>
        <w:numPr>
          <w:ilvl w:val="0"/>
          <w:numId w:val="2"/>
        </w:numPr>
        <w:spacing w:after="60"/>
      </w:pPr>
      <w:r>
        <w:rPr>
          <w:rFonts w:ascii="Calibri" w:cs="Calibri" w:eastAsia="Calibri" w:hAnsi="Calibri"/>
          <w:sz w:val="22"/>
          <w:szCs w:val="22"/>
        </w:rPr>
        <w:t xml:space="preserve">Ich kann Wertschöpfung berechnen und erklären, wer daraus bezahlt wird.</w:t>
      </w:r>
    </w:p>
    <w:p>
      <w:pPr>
        <w:pStyle w:val="ListParagraph"/>
        <w:numPr>
          <w:ilvl w:val="0"/>
          <w:numId w:val="2"/>
        </w:numPr>
        <w:spacing w:after="60"/>
      </w:pPr>
      <w:r>
        <w:rPr>
          <w:rFonts w:ascii="Calibri" w:cs="Calibri" w:eastAsia="Calibri" w:hAnsi="Calibri"/>
          <w:sz w:val="22"/>
          <w:szCs w:val="22"/>
        </w:rPr>
        <w:t xml:space="preserve">Ich kann die Wertschöpfungskette eines Systemhauses beschreiben.</w:t>
      </w:r>
    </w:p>
    <w:p>
      <w:pPr>
        <w:pStyle w:val="ListParagraph"/>
        <w:numPr>
          <w:ilvl w:val="0"/>
          <w:numId w:val="2"/>
        </w:numPr>
        <w:spacing w:after="60"/>
      </w:pPr>
      <w:r>
        <w:rPr>
          <w:rFonts w:ascii="Calibri" w:cs="Calibri" w:eastAsia="Calibri" w:hAnsi="Calibri"/>
          <w:sz w:val="22"/>
          <w:szCs w:val="22"/>
        </w:rPr>
        <w:t xml:space="preserve">Ich kann Digitalisierung, Transformation und Disruption abgrenzen.</w:t>
      </w:r>
    </w:p>
    <w:p>
      <w:pPr>
        <w:pStyle w:val="ListParagraph"/>
        <w:numPr>
          <w:ilvl w:val="0"/>
          <w:numId w:val="2"/>
        </w:numPr>
        <w:spacing w:after="60"/>
      </w:pPr>
      <w:r>
        <w:rPr>
          <w:rFonts w:ascii="Calibri" w:cs="Calibri" w:eastAsia="Calibri" w:hAnsi="Calibri"/>
          <w:sz w:val="22"/>
          <w:szCs w:val="22"/>
        </w:rPr>
        <w:t xml:space="preserve">Ich kann Kern-, Support- und Managementprozesse unterscheiden.</w:t>
      </w:r>
    </w:p>
    <w:p>
      <w:pPr>
        <w:pStyle w:val="ListParagraph"/>
        <w:numPr>
          <w:ilvl w:val="0"/>
          <w:numId w:val="2"/>
        </w:numPr>
        <w:spacing w:after="60"/>
      </w:pPr>
      <w:r>
        <w:rPr>
          <w:rFonts w:ascii="Calibri" w:cs="Calibri" w:eastAsia="Calibri" w:hAnsi="Calibri"/>
          <w:sz w:val="22"/>
          <w:szCs w:val="22"/>
        </w:rPr>
        <w:t xml:space="preserve">Ich kann einen Prozess mit Auslöser, Aktivitäten, Ergebnis und Prozesskunde beschreiben.</w:t>
      </w:r>
    </w:p>
    <w:p>
      <w:pPr>
        <w:pStyle w:val="ListParagraph"/>
        <w:numPr>
          <w:ilvl w:val="0"/>
          <w:numId w:val="2"/>
        </w:numPr>
        <w:spacing w:after="60"/>
      </w:pPr>
      <w:r>
        <w:rPr>
          <w:rFonts w:ascii="Calibri" w:cs="Calibri" w:eastAsia="Calibri" w:hAnsi="Calibri"/>
          <w:sz w:val="22"/>
          <w:szCs w:val="22"/>
        </w:rPr>
        <w:t xml:space="preserve">Ich kann sechs Prozesskennzahlen benennen.</w:t>
      </w:r>
    </w:p>
    <w:p>
      <w:pPr>
        <w:pStyle w:val="ListParagraph"/>
        <w:numPr>
          <w:ilvl w:val="0"/>
          <w:numId w:val="2"/>
        </w:numPr>
        <w:spacing w:after="60"/>
      </w:pPr>
      <w:r>
        <w:rPr>
          <w:rFonts w:ascii="Calibri" w:cs="Calibri" w:eastAsia="Calibri" w:hAnsi="Calibri"/>
          <w:sz w:val="22"/>
          <w:szCs w:val="22"/>
        </w:rPr>
        <w:t xml:space="preserve">Ich kann ERP, CRM, SCM, DMS, BI und BPM richtig zuordnen.</w:t>
      </w:r>
    </w:p>
    <w:p>
      <w:pPr>
        <w:pStyle w:val="Heading2"/>
        <w:spacing w:after="120" w:before="280"/>
      </w:pPr>
      <w:r>
        <w:rPr>
          <w:rFonts w:ascii="Calibri" w:cs="Calibri" w:eastAsia="Calibri" w:hAnsi="Calibri"/>
          <w:b/>
          <w:bCs/>
          <w:color w:val="0066AA"/>
          <w:sz w:val="26"/>
          <w:szCs w:val="26"/>
        </w:rPr>
        <w:t xml:space="preserve">8 Begriffe dieser Lerneinheit</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2400"/>
        <w:gridCol w:w="6620"/>
      </w:tblGrid>
      <w:tr>
        <w:trPr>
          <w:tblHeader/>
        </w:trPr>
        <w:tc>
          <w:tcPr>
            <w:tcW w:type="dxa" w:w="24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Begriff</w:t>
            </w:r>
          </w:p>
        </w:tc>
        <w:tc>
          <w:tcPr>
            <w:tcW w:type="dxa" w:w="66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Erklärung</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BI</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Business-Intelligence: Auswertungen, Reports, Data Warehouse, Data Mining</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BPM</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Business-Process-Management: Prozesse modellieren, steuern, optimieren</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CRM</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Customer-Relationship-Management: Kundenbeziehungen und Kundendaten</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Disruption</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Verdrängung eines bestehenden Geschäftsmodells durch ein neues</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Dispositiver Faktor</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Planende, organisierende und kontrollierende Leitungstätigkeit</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DMS</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Dokumentenmanagementsystem</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Elementarfaktoren</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Ausführende Arbeit, Betriebsmittel, Werkstoffe</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ERP</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Enterprise-Resource-Planning: zentrale Verwaltung der Unternehmensressourcen</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Geschäftsprozess</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Zeitliche und sachlogische Abfolge von Aktivitäten mit Auslöser und Ergebnis</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Kernprozess</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Kundennaher, wertschöpfungsintensiver Prozess</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Prozesskunde</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Empfänger des Prozessergebnisses, intern oder extern</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SCM</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Supply-Chain-Management: Steuerung der Lieferkette</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Supportprozess</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Unterstützender, nicht wertschöpfender Prozess</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Swimlane</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Prozessdarstellung mit einer Zeile je Rolle</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Vorleistungen</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Von anderen Unternehmen bezogene Güter und Leistungen</w:t>
            </w:r>
          </w:p>
        </w:tc>
      </w:tr>
      <w:tr>
        <w:tc>
          <w:tcPr>
            <w:tcW w:type="dxa" w:w="240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Wertschöpfung</w:t>
            </w:r>
          </w:p>
        </w:tc>
        <w:tc>
          <w:tcPr>
            <w:tcW w:type="dxa" w:w="6620"/>
            <w:shd w:fill="EEF5FB"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Erstellte Leistung abzüglich der Vorleistungen</w:t>
            </w:r>
          </w:p>
        </w:tc>
      </w:tr>
      <w:tr>
        <w:tc>
          <w:tcPr>
            <w:tcW w:type="dxa" w:w="24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Workflow</w:t>
            </w:r>
          </w:p>
        </w:tc>
        <w:tc>
          <w:tcPr>
            <w:tcW w:type="dxa" w:w="66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Rechnergestützter, weitgehend automatisierter Teilprozess</w:t>
            </w:r>
          </w:p>
        </w:tc>
      </w:tr>
    </w:tbl>
    <w:p>
      <w:pPr>
        <w:spacing w:after="140"/>
      </w:pP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8"/>
        <w:szCs w:val="18"/>
      </w:rPr>
      <w:t xml:space="preserve">bfw Lübeck · Handout LE 08 ·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jc w:val="right"/>
    </w:pPr>
    <w:r>
      <w:rPr>
        <w:rFonts w:ascii="Calibri" w:cs="Calibri" w:eastAsia="Calibri" w:hAnsi="Calibri"/>
        <w:color w:val="0066AA"/>
        <w:sz w:val="18"/>
        <w:szCs w:val="18"/>
      </w:rPr>
      <w:t xml:space="preserve">Modul A · LE 08 – Wertschöpfung und Geschäftsprozesse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0066AA"/>
      </w:rPr>
    </w:lvl>
    <w:lvl w:ilvl="1" w15:tentative="1">
      <w:start w:val="1"/>
      <w:numFmt w:val="bullet"/>
      <w:lvlText w:val="◦"/>
      <w:lvlJc w:val="left"/>
      <w:pPr>
        <w:ind w:left="720" w:hanging="260"/>
      </w:pPr>
    </w:lvl>
  </w:abstractNum>
  <w:abstractNum w:abstractNumId="3" w15:restartNumberingAfterBreak="0">
    <w:multiLevelType w:val="hybridMultilevel"/>
    <w:lvl w:ilvl="0" w15:tentative="1">
      <w:start w:val="1"/>
      <w:numFmt w:val="decimal"/>
      <w:lvlText w:val="%1."/>
      <w:lvlJc w:val="left"/>
      <w:pPr>
        <w:ind w:left="400" w:hanging="300"/>
      </w:pPr>
      <w:rPr>
        <w:b/>
        <w:bCs/>
        <w:color w:val="00336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A · LE 08 – Handout</dc:title>
  <dc:creator>bfw Lübeck</dc:creator>
  <cp:lastModifiedBy>Un-named</cp:lastModifiedBy>
  <cp:revision>1</cp:revision>
  <dcterms:created xsi:type="dcterms:W3CDTF">2026-08-04T16:42:04.948Z</dcterms:created>
  <dcterms:modified xsi:type="dcterms:W3CDTF">2026-08-04T16:42:04.963Z</dcterms:modified>
</cp:coreProperties>
</file>

<file path=docProps/custom.xml><?xml version="1.0" encoding="utf-8"?>
<Properties xmlns="http://schemas.openxmlformats.org/officeDocument/2006/custom-properties" xmlns:vt="http://schemas.openxmlformats.org/officeDocument/2006/docPropsVTypes"/>
</file>