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07 – Firma, Handelsregister, Vollmachten, Rechtsformen</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Rechtsangaben nach HGB, GmbHG, AktG und BGB, Stand August 2026. KONTURA IT-Solutions ist ein frei erfundenes Modellunternehmen. Dieses Handout ersetzt keine Rechtsberatung.</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Den Kaufmannsbegriff und seine Formen unterscheiden.</w:t>
      </w:r>
    </w:p>
    <w:p>
      <w:pPr>
        <w:pStyle w:val="ListParagraph"/>
        <w:numPr>
          <w:ilvl w:val="0"/>
          <w:numId w:val="2"/>
        </w:numPr>
        <w:spacing w:after="60"/>
      </w:pPr>
      <w:r>
        <w:rPr>
          <w:rFonts w:ascii="Calibri" w:cs="Calibri" w:eastAsia="Calibri" w:hAnsi="Calibri"/>
          <w:sz w:val="22"/>
          <w:szCs w:val="22"/>
        </w:rPr>
        <w:t xml:space="preserve">Die Firma und die Firmengrundsätze erklären.</w:t>
      </w:r>
    </w:p>
    <w:p>
      <w:pPr>
        <w:pStyle w:val="ListParagraph"/>
        <w:numPr>
          <w:ilvl w:val="0"/>
          <w:numId w:val="2"/>
        </w:numPr>
        <w:spacing w:after="60"/>
      </w:pPr>
      <w:r>
        <w:rPr>
          <w:rFonts w:ascii="Calibri" w:cs="Calibri" w:eastAsia="Calibri" w:hAnsi="Calibri"/>
          <w:sz w:val="22"/>
          <w:szCs w:val="22"/>
        </w:rPr>
        <w:t xml:space="preserve">Aufbau und Wirkung des Handelsregisters beschreiben.</w:t>
      </w:r>
    </w:p>
    <w:p>
      <w:pPr>
        <w:pStyle w:val="ListParagraph"/>
        <w:numPr>
          <w:ilvl w:val="0"/>
          <w:numId w:val="2"/>
        </w:numPr>
        <w:spacing w:after="60"/>
      </w:pPr>
      <w:r>
        <w:rPr>
          <w:rFonts w:ascii="Calibri" w:cs="Calibri" w:eastAsia="Calibri" w:hAnsi="Calibri"/>
          <w:sz w:val="22"/>
          <w:szCs w:val="22"/>
        </w:rPr>
        <w:t xml:space="preserve">Prokura und Handlungsvollmacht abgrenzen und ihre Grenzen bestimmen.</w:t>
      </w:r>
    </w:p>
    <w:p>
      <w:pPr>
        <w:pStyle w:val="ListParagraph"/>
        <w:numPr>
          <w:ilvl w:val="0"/>
          <w:numId w:val="2"/>
        </w:numPr>
        <w:spacing w:after="60"/>
      </w:pPr>
      <w:r>
        <w:rPr>
          <w:rFonts w:ascii="Calibri" w:cs="Calibri" w:eastAsia="Calibri" w:hAnsi="Calibri"/>
          <w:sz w:val="22"/>
          <w:szCs w:val="22"/>
        </w:rPr>
        <w:t xml:space="preserve">Rechtsformen nach Haftung, Kapital, Leitung und Aufwand vergleichen.</w:t>
      </w:r>
    </w:p>
    <w:p>
      <w:pPr>
        <w:pStyle w:val="ListParagraph"/>
        <w:numPr>
          <w:ilvl w:val="0"/>
          <w:numId w:val="2"/>
        </w:numPr>
        <w:spacing w:after="60"/>
      </w:pPr>
      <w:r>
        <w:rPr>
          <w:rFonts w:ascii="Calibri" w:cs="Calibri" w:eastAsia="Calibri" w:hAnsi="Calibri"/>
          <w:sz w:val="22"/>
          <w:szCs w:val="22"/>
        </w:rPr>
        <w:t xml:space="preserve">Für einen Gründungsfall eine Rechtsform begründet empfehlen.</w:t>
      </w:r>
    </w:p>
    <w:p>
      <w:pPr>
        <w:pStyle w:val="Heading2"/>
        <w:spacing w:after="120" w:before="280"/>
      </w:pPr>
      <w:r>
        <w:rPr>
          <w:rFonts w:ascii="Calibri" w:cs="Calibri" w:eastAsia="Calibri" w:hAnsi="Calibri"/>
          <w:b/>
          <w:bCs/>
          <w:color w:val="0066AA"/>
          <w:sz w:val="26"/>
          <w:szCs w:val="26"/>
        </w:rPr>
        <w:t xml:space="preserve">1 Der Kaufmannsbegriff</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4000"/>
        <w:gridCol w:w="32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Form</w:t>
            </w:r>
          </w:p>
        </w:tc>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Grundlage</w:t>
            </w:r>
          </w:p>
        </w:tc>
        <w:tc>
          <w:tcPr>
            <w:tcW w:type="dxa" w:w="3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Wirkung der Eintragung</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Istkaufmann</w:t>
            </w:r>
          </w:p>
        </w:tc>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Betreibt ein Handelsgewerbe, das einen in kaufmännischer Weise eingerichteten Geschäftsbetrieb erfordert (§ 1 HGB)</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Deklaratorisch – die Kaufmannseigenschaft besteht bereits</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Kannkaufmann</w:t>
            </w:r>
          </w:p>
        </w:tc>
        <w:tc>
          <w:tcPr>
            <w:tcW w:type="dxa" w:w="4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Kleingewerbe sowie Land- und Forstwirtschaft (§§ 2, 3 HGB)</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Konstitutiv – erst die Eintragung macht zum Kaufmann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Formkaufmann</w:t>
            </w:r>
          </w:p>
        </w:tc>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Handelsgesellschaften wie GmbH, UG, AG (§ 6 HGB)</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Kaufmann kraft Rechtsform</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Deklaratorisch bedeutet: Die Eintragung bestätigt eine bestehende Rechtslage. Konstitutiv bedeutet: Die Eintragung erzeugt die Rechtsfolge erst. Diese Unterscheidung kehrt bei Prokura und GmbH wieder.</w:t>
            </w:r>
          </w:p>
        </w:tc>
      </w:tr>
    </w:tbl>
    <w:p>
      <w:pPr>
        <w:spacing w:after="140"/>
      </w:pPr>
    </w:p>
    <w:p>
      <w:pPr>
        <w:pStyle w:val="Heading2"/>
        <w:spacing w:after="120" w:before="280"/>
      </w:pPr>
      <w:r>
        <w:rPr>
          <w:rFonts w:ascii="Calibri" w:cs="Calibri" w:eastAsia="Calibri" w:hAnsi="Calibri"/>
          <w:b/>
          <w:bCs/>
          <w:color w:val="0066AA"/>
          <w:sz w:val="26"/>
          <w:szCs w:val="26"/>
        </w:rPr>
        <w:t xml:space="preserve">2 Die Firma</w:t>
      </w:r>
    </w:p>
    <w:p>
      <w:pPr>
        <w:spacing w:after="120"/>
      </w:pPr>
      <w:r>
        <w:rPr>
          <w:rFonts w:ascii="Calibri" w:cs="Calibri" w:eastAsia="Calibri" w:hAnsi="Calibri"/>
          <w:b w:val="false"/>
          <w:bCs w:val="false"/>
          <w:i w:val="false"/>
          <w:iCs w:val="false"/>
          <w:color w:val="1A1A1A"/>
          <w:sz w:val="22"/>
          <w:szCs w:val="22"/>
        </w:rPr>
        <w:t xml:space="preserve">Die Firma ist der Name, unter dem ein Kaufmann seine Geschäfte betreibt und die Unterschrift abgibt (§ 17 HGB). Sie ist weder das Gebäude noch das Unternehmen selbst, sondern ausschließlich der Name. Unter der Firma kann geklagt werden und geklagt werden gegen sie.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400"/>
        <w:gridCol w:w="38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Firmenart</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Bildung</w:t>
            </w:r>
          </w:p>
        </w:tc>
        <w:tc>
          <w:tcPr>
            <w:tcW w:type="dxa" w:w="38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Personenfirma</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 dem Namen der Inhaber oder Gesellschafter</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Meyer &amp; Sohn e. K.</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Sachfirma</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 dem Gegenstand des Unternehmens</w:t>
            </w:r>
          </w:p>
        </w:tc>
        <w:tc>
          <w:tcPr>
            <w:tcW w:type="dxa" w:w="3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Nordlicht IT-Services GmbH</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Fantasiefirma</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Frei gewählte Bezeichnung</w:t>
            </w:r>
          </w:p>
        </w:tc>
        <w:tc>
          <w:tcPr>
            <w:tcW w:type="dxa" w:w="3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KONTURA IT-Solutions GmbH</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Mischform</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Kombination der Varianten</w:t>
            </w:r>
          </w:p>
        </w:tc>
        <w:tc>
          <w:tcPr>
            <w:tcW w:type="dxa" w:w="3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KONTURA IT-Services Meyer GmbH</w:t>
            </w:r>
          </w:p>
        </w:tc>
      </w:tr>
    </w:tbl>
    <w:p>
      <w:pPr>
        <w:spacing w:after="140"/>
      </w:pP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Grundsatz</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Firmenwahrheit</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Keine Angaben, die über Art, Größe oder Verhältnisse des Unternehmens irreführen (§ 18 HGB)</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Firmenklarheit</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 Firma muss unterscheidungskräftig sein und darf nicht täuschen</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Firmenausschließlichkeit</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Keine zwei gleichen oder verwechselbaren Firmen am selben Ort (§ 30 HGB)</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Firmenbeständigkeit</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Fortführung der bisherigen Firma bei Inhaberwechsel möglich (§§ 21, 22 HGB)</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Firmeneinheit</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Unternehmen führt grundsätzlich eine Firma</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Firmenöffentlichkeit</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Eintragung und öffentliche Einsehbarkeit im Register</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Der Rechtsformzusatz ist zwingend (§ 19 HGB): e. K., OHG, KG, GmbH, UG (haftungsbeschränkt), AG. Er zeigt dem Geschäftsverkehr, wer wie haftet. Über die Zulässigkeit entscheidet das Registergericht, häufig nach Stellungnahme der IHK.</w:t>
      </w:r>
    </w:p>
    <w:p>
      <w:pPr>
        <w:pStyle w:val="Heading2"/>
        <w:spacing w:after="120" w:before="280"/>
      </w:pPr>
      <w:r>
        <w:rPr>
          <w:rFonts w:ascii="Calibri" w:cs="Calibri" w:eastAsia="Calibri" w:hAnsi="Calibri"/>
          <w:b/>
          <w:bCs/>
          <w:color w:val="0066AA"/>
          <w:sz w:val="26"/>
          <w:szCs w:val="26"/>
        </w:rPr>
        <w:t xml:space="preserve">3 Das Handelsregister</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400"/>
        <w:gridCol w:w="34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Abteilung</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Eingetragen werden</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Beispiele</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Abteilung A (HRA)</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Einzelkaufleute und Personenhandelsgesellschaften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 K., OHG, KG</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Abteilung B (HRB)</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Kapitalgesellschaften</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GmbH, UG (haftungsbeschränkt), AG</w:t>
            </w:r>
          </w:p>
        </w:tc>
      </w:tr>
    </w:tbl>
    <w:p>
      <w:pPr>
        <w:spacing w:after="140"/>
      </w:pPr>
    </w:p>
    <w:p>
      <w:pPr>
        <w:pStyle w:val="ListParagraph"/>
        <w:numPr>
          <w:ilvl w:val="0"/>
          <w:numId w:val="2"/>
        </w:numPr>
        <w:spacing w:after="60"/>
      </w:pPr>
      <w:r>
        <w:rPr>
          <w:rFonts w:ascii="Calibri" w:cs="Calibri" w:eastAsia="Calibri" w:hAnsi="Calibri"/>
          <w:sz w:val="22"/>
          <w:szCs w:val="22"/>
        </w:rPr>
        <w:t xml:space="preserve">Publizitätsfunktion: Der Registerinhalt ist öffentlich einsehbar; wer sich darauf verlässt, wird geschützt (§ 15 HGB).</w:t>
      </w:r>
    </w:p>
    <w:p>
      <w:pPr>
        <w:pStyle w:val="ListParagraph"/>
        <w:numPr>
          <w:ilvl w:val="0"/>
          <w:numId w:val="2"/>
        </w:numPr>
        <w:spacing w:after="60"/>
      </w:pPr>
      <w:r>
        <w:rPr>
          <w:rFonts w:ascii="Calibri" w:cs="Calibri" w:eastAsia="Calibri" w:hAnsi="Calibri"/>
          <w:sz w:val="22"/>
          <w:szCs w:val="22"/>
        </w:rPr>
        <w:t xml:space="preserve">Beweisfunktion: Eingetragene Tatsachen gelten als nachgewiesen.</w:t>
      </w:r>
    </w:p>
    <w:p>
      <w:pPr>
        <w:pStyle w:val="ListParagraph"/>
        <w:numPr>
          <w:ilvl w:val="0"/>
          <w:numId w:val="2"/>
        </w:numPr>
        <w:spacing w:after="60"/>
      </w:pPr>
      <w:r>
        <w:rPr>
          <w:rFonts w:ascii="Calibri" w:cs="Calibri" w:eastAsia="Calibri" w:hAnsi="Calibri"/>
          <w:sz w:val="22"/>
          <w:szCs w:val="22"/>
        </w:rPr>
        <w:t xml:space="preserve">Kontroll- und Schutzfunktion: Prüfung durch das Registergericht schützt den Geschäftsverkehr.</w:t>
      </w:r>
    </w:p>
    <w:p>
      <w:pPr>
        <w:pStyle w:val="ListParagraph"/>
        <w:numPr>
          <w:ilvl w:val="0"/>
          <w:numId w:val="2"/>
        </w:numPr>
        <w:spacing w:after="60"/>
      </w:pPr>
      <w:r>
        <w:rPr>
          <w:rFonts w:ascii="Calibri" w:cs="Calibri" w:eastAsia="Calibri" w:hAnsi="Calibri"/>
          <w:sz w:val="22"/>
          <w:szCs w:val="22"/>
        </w:rPr>
        <w:t xml:space="preserve">Das Register wird elektronisch geführt.</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Die GbR gehört nicht ins Handelsregister. Seit dem Gesetz zur Modernisierung des Personengesellschaftsrechts (MoPeG), in Kraft seit 2024, gibt es für sie das Gesellschaftsregister. Die Eintragung ist freiwillig – für Grundstücksgeschäfte, den Erwerb von GmbH-Anteilen und viele Registervorgänge ist sie jedoch praktisch erforderlich. Eingetragene Gesellschaften führen den Zusatz eGbR. Ältere Lehrwerke behaupten hier noch, eine GbR sei generell nicht eintragungsfähig.</w:t>
            </w:r>
          </w:p>
        </w:tc>
      </w:tr>
    </w:tbl>
    <w:p>
      <w:pPr>
        <w:spacing w:after="140"/>
      </w:pPr>
    </w:p>
    <w:p>
      <w:pPr>
        <w:pStyle w:val="Heading2"/>
        <w:spacing w:after="120" w:before="280"/>
      </w:pPr>
      <w:r>
        <w:rPr>
          <w:rFonts w:ascii="Calibri" w:cs="Calibri" w:eastAsia="Calibri" w:hAnsi="Calibri"/>
          <w:b/>
          <w:bCs/>
          <w:color w:val="0066AA"/>
          <w:sz w:val="26"/>
          <w:szCs w:val="26"/>
        </w:rPr>
        <w:t xml:space="preserve">4 Vollmachten</w:t>
      </w:r>
    </w:p>
    <w:p>
      <w:pPr>
        <w:pStyle w:val="Heading3"/>
        <w:spacing w:after="80" w:before="200"/>
      </w:pPr>
      <w:r>
        <w:rPr>
          <w:rFonts w:ascii="Calibri" w:cs="Calibri" w:eastAsia="Calibri" w:hAnsi="Calibri"/>
          <w:b/>
          <w:bCs/>
          <w:color w:val="003366"/>
          <w:sz w:val="23"/>
          <w:szCs w:val="23"/>
        </w:rPr>
        <w:t xml:space="preserve">4.1 Prokura</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702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7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Regelung</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Erteilung</w:t>
            </w:r>
          </w:p>
        </w:tc>
        <w:tc>
          <w:tcPr>
            <w:tcW w:type="dxa" w:w="7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Ausdrücklich durch den Inhaber oder gesetzlichen Vertreter (§ 48 HGB)</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Umfang</w:t>
            </w:r>
          </w:p>
        </w:tc>
        <w:tc>
          <w:tcPr>
            <w:tcW w:type="dxa" w:w="7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gerichtlichen und außergerichtlichen Geschäfte, die der Betrieb eines Handelsgewerbes mit sich bringt – auch ungewöhnliche (§ 49 HGB)</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Zeichnung</w:t>
            </w:r>
          </w:p>
        </w:tc>
        <w:tc>
          <w:tcPr>
            <w:tcW w:type="dxa" w:w="7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 dem Zusatz ppa.</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Register</w:t>
            </w:r>
          </w:p>
        </w:tc>
        <w:tc>
          <w:tcPr>
            <w:tcW w:type="dxa" w:w="7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Anmeldung zum Handelsregister ist Pflicht (§ 53 HGB); die Eintragung wirkt deklaratorisch</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Wirksamkeit</w:t>
            </w:r>
          </w:p>
        </w:tc>
        <w:tc>
          <w:tcPr>
            <w:tcW w:type="dxa" w:w="7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 Prokura ist bereits mit der Erteilung wirksam, nicht erst mit der Eintragung</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Beschränkung</w:t>
            </w:r>
          </w:p>
        </w:tc>
        <w:tc>
          <w:tcPr>
            <w:tcW w:type="dxa" w:w="7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Beschränkungen im Innenverhältnis wirken gegenüber Dritten nicht (§ 50 HGB)</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Erlöschen</w:t>
            </w:r>
          </w:p>
        </w:tc>
        <w:tc>
          <w:tcPr>
            <w:tcW w:type="dxa" w:w="7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Jederzeit widerruflich; erlischt nicht durch den Tod des Inhabers</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Nicht von der Prokura gedeckt sind die sogenannten Grundlagengeschäfte:</w:t>
      </w:r>
    </w:p>
    <w:p>
      <w:pPr>
        <w:pStyle w:val="ListParagraph"/>
        <w:numPr>
          <w:ilvl w:val="0"/>
          <w:numId w:val="2"/>
        </w:numPr>
        <w:spacing w:after="60"/>
      </w:pPr>
      <w:r>
        <w:rPr>
          <w:rFonts w:ascii="Calibri" w:cs="Calibri" w:eastAsia="Calibri" w:hAnsi="Calibri"/>
          <w:sz w:val="22"/>
          <w:szCs w:val="22"/>
        </w:rPr>
        <w:t xml:space="preserve">Veräußerung oder Belastung von Grundstücken – dafür ist eine besondere Befugnis erforderlich (§ 49 Abs. 2 HGB).</w:t>
      </w:r>
    </w:p>
    <w:p>
      <w:pPr>
        <w:pStyle w:val="ListParagraph"/>
        <w:numPr>
          <w:ilvl w:val="0"/>
          <w:numId w:val="2"/>
        </w:numPr>
        <w:spacing w:after="60"/>
      </w:pPr>
      <w:r>
        <w:rPr>
          <w:rFonts w:ascii="Calibri" w:cs="Calibri" w:eastAsia="Calibri" w:hAnsi="Calibri"/>
          <w:sz w:val="22"/>
          <w:szCs w:val="22"/>
        </w:rPr>
        <w:t xml:space="preserve">Verkauf oder Auflösung des Unternehmens.</w:t>
      </w:r>
    </w:p>
    <w:p>
      <w:pPr>
        <w:pStyle w:val="ListParagraph"/>
        <w:numPr>
          <w:ilvl w:val="0"/>
          <w:numId w:val="2"/>
        </w:numPr>
        <w:spacing w:after="60"/>
      </w:pPr>
      <w:r>
        <w:rPr>
          <w:rFonts w:ascii="Calibri" w:cs="Calibri" w:eastAsia="Calibri" w:hAnsi="Calibri"/>
          <w:sz w:val="22"/>
          <w:szCs w:val="22"/>
        </w:rPr>
        <w:t xml:space="preserve">Änderung der Firma, Anmeldungen zum Handelsregister.</w:t>
      </w:r>
    </w:p>
    <w:p>
      <w:pPr>
        <w:pStyle w:val="ListParagraph"/>
        <w:numPr>
          <w:ilvl w:val="0"/>
          <w:numId w:val="2"/>
        </w:numPr>
        <w:spacing w:after="60"/>
      </w:pPr>
      <w:r>
        <w:rPr>
          <w:rFonts w:ascii="Calibri" w:cs="Calibri" w:eastAsia="Calibri" w:hAnsi="Calibri"/>
          <w:sz w:val="22"/>
          <w:szCs w:val="22"/>
        </w:rPr>
        <w:t xml:space="preserve">Erteilung weiterer Prokura.</w:t>
      </w:r>
    </w:p>
    <w:p>
      <w:pPr>
        <w:pStyle w:val="ListParagraph"/>
        <w:numPr>
          <w:ilvl w:val="0"/>
          <w:numId w:val="2"/>
        </w:numPr>
        <w:spacing w:after="60"/>
      </w:pPr>
      <w:r>
        <w:rPr>
          <w:rFonts w:ascii="Calibri" w:cs="Calibri" w:eastAsia="Calibri" w:hAnsi="Calibri"/>
          <w:sz w:val="22"/>
          <w:szCs w:val="22"/>
        </w:rPr>
        <w:t xml:space="preserve">Unterzeichnung der Bilanz und der Steuererklärung.</w:t>
      </w:r>
    </w:p>
    <w:p>
      <w:pPr>
        <w:pStyle w:val="ListParagraph"/>
        <w:numPr>
          <w:ilvl w:val="0"/>
          <w:numId w:val="2"/>
        </w:numPr>
        <w:spacing w:after="60"/>
      </w:pPr>
      <w:r>
        <w:rPr>
          <w:rFonts w:ascii="Calibri" w:cs="Calibri" w:eastAsia="Calibri" w:hAnsi="Calibri"/>
          <w:sz w:val="22"/>
          <w:szCs w:val="22"/>
        </w:rPr>
        <w:t xml:space="preserve">Anmeldung der Insolvenz.</w:t>
      </w: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Merkregel: Alles, was das Unternehmen als solches betrifft, bleibt beim Inhaber. Der Prokurist führt das Geschäft, er verfügt nicht über das Unternehmen.</w:t>
            </w:r>
          </w:p>
        </w:tc>
      </w:tr>
    </w:tbl>
    <w:p>
      <w:pPr>
        <w:spacing w:after="140"/>
      </w:pPr>
    </w:p>
    <w:p>
      <w:pPr>
        <w:pStyle w:val="Heading3"/>
        <w:spacing w:after="80" w:before="200"/>
      </w:pPr>
      <w:r>
        <w:rPr>
          <w:rFonts w:ascii="Calibri" w:cs="Calibri" w:eastAsia="Calibri" w:hAnsi="Calibri"/>
          <w:b/>
          <w:bCs/>
          <w:color w:val="003366"/>
          <w:sz w:val="23"/>
          <w:szCs w:val="23"/>
        </w:rPr>
        <w:t xml:space="preserve">4.2 Handlungsvollmacht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3200"/>
        <w:gridCol w:w="32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Art</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Umfang</w:t>
            </w:r>
          </w:p>
        </w:tc>
        <w:tc>
          <w:tcPr>
            <w:tcW w:type="dxa" w:w="3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Allgemeine Handlungsvollmacht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gewöhnlichen Geschäfte des Betriebs</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Leitung einer Niederlassung</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Artvollmacht</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Eine bestimmte Art von Geschäften</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Einkauf von Hardware</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Einzelvollmacht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einzelnes Geschäft</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Abschluss eines bestimmten Wartungsvertrags</w:t>
            </w:r>
          </w:p>
        </w:tc>
      </w:tr>
    </w:tbl>
    <w:p>
      <w:pPr>
        <w:spacing w:after="140"/>
      </w:pPr>
    </w:p>
    <w:p>
      <w:pPr>
        <w:pStyle w:val="ListParagraph"/>
        <w:numPr>
          <w:ilvl w:val="0"/>
          <w:numId w:val="2"/>
        </w:numPr>
        <w:spacing w:after="60"/>
      </w:pPr>
      <w:r>
        <w:rPr>
          <w:rFonts w:ascii="Calibri" w:cs="Calibri" w:eastAsia="Calibri" w:hAnsi="Calibri"/>
          <w:sz w:val="22"/>
          <w:szCs w:val="22"/>
        </w:rPr>
        <w:t xml:space="preserve">Zeichnung mit i. V. (in Vertretung) oder i. A. (im Auftrag).</w:t>
      </w:r>
    </w:p>
    <w:p>
      <w:pPr>
        <w:pStyle w:val="ListParagraph"/>
        <w:numPr>
          <w:ilvl w:val="0"/>
          <w:numId w:val="2"/>
        </w:numPr>
        <w:spacing w:after="60"/>
      </w:pPr>
      <w:r>
        <w:rPr>
          <w:rFonts w:ascii="Calibri" w:cs="Calibri" w:eastAsia="Calibri" w:hAnsi="Calibri"/>
          <w:sz w:val="22"/>
          <w:szCs w:val="22"/>
        </w:rPr>
        <w:t xml:space="preserve">Keine Eintragung im Handelsregister.</w:t>
      </w:r>
    </w:p>
    <w:p>
      <w:pPr>
        <w:pStyle w:val="ListParagraph"/>
        <w:numPr>
          <w:ilvl w:val="0"/>
          <w:numId w:val="2"/>
        </w:numPr>
        <w:spacing w:after="60"/>
      </w:pPr>
      <w:r>
        <w:rPr>
          <w:rFonts w:ascii="Calibri" w:cs="Calibri" w:eastAsia="Calibri" w:hAnsi="Calibri"/>
          <w:sz w:val="22"/>
          <w:szCs w:val="22"/>
        </w:rPr>
        <w:t xml:space="preserve">Ohne besondere Befugnis nicht gedeckt: Grundstücke veräußern oder belasten, Darlehen aufnehmen, Wechselverbindlichkeiten eingehen, Prozesse führen (§ 54 Abs. 2 HGB).</w:t>
      </w:r>
    </w:p>
    <w:p>
      <w:pPr>
        <w:pStyle w:val="ListParagraph"/>
        <w:numPr>
          <w:ilvl w:val="0"/>
          <w:numId w:val="2"/>
        </w:numPr>
        <w:spacing w:after="60"/>
      </w:pPr>
      <w:r>
        <w:rPr>
          <w:rFonts w:ascii="Calibri" w:cs="Calibri" w:eastAsia="Calibri" w:hAnsi="Calibri"/>
          <w:sz w:val="22"/>
          <w:szCs w:val="22"/>
        </w:rPr>
        <w:t xml:space="preserve">Beschränkungen wirken gegenüber Dritten, wenn diese sie kannten oder kennen mussten.</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Analogie für IT-Klassen: Die Prokura entspricht weitreichenden Administratorrechten mit gesetzlich festgelegtem Umfang, die Handlungsvollmacht einem Konto mit vom Inhaber gesetzten Rechten. Volle Verfügung über das System behält in beiden Fällen der Inhaber.</w:t>
            </w:r>
          </w:p>
        </w:tc>
      </w:tr>
    </w:tbl>
    <w:p>
      <w:pPr>
        <w:spacing w:after="140"/>
      </w:pPr>
    </w:p>
    <w:p>
      <w:pPr>
        <w:pStyle w:val="Heading2"/>
        <w:spacing w:after="120" w:before="280"/>
      </w:pPr>
      <w:r>
        <w:rPr>
          <w:rFonts w:ascii="Calibri" w:cs="Calibri" w:eastAsia="Calibri" w:hAnsi="Calibri"/>
          <w:b/>
          <w:bCs/>
          <w:color w:val="0066AA"/>
          <w:sz w:val="26"/>
          <w:szCs w:val="26"/>
        </w:rPr>
        <w:t xml:space="preserve">5 Rechtsformen</w:t>
      </w:r>
    </w:p>
    <w:p>
      <w:pPr>
        <w:pStyle w:val="Heading3"/>
        <w:spacing w:after="80" w:before="200"/>
      </w:pPr>
      <w:r>
        <w:rPr>
          <w:rFonts w:ascii="Calibri" w:cs="Calibri" w:eastAsia="Calibri" w:hAnsi="Calibri"/>
          <w:b/>
          <w:bCs/>
          <w:color w:val="003366"/>
          <w:sz w:val="23"/>
          <w:szCs w:val="23"/>
        </w:rPr>
        <w:t xml:space="preserve">5.1 Einzelunternehmen</w:t>
      </w:r>
    </w:p>
    <w:p>
      <w:pPr>
        <w:pStyle w:val="ListParagraph"/>
        <w:numPr>
          <w:ilvl w:val="0"/>
          <w:numId w:val="2"/>
        </w:numPr>
        <w:spacing w:after="60"/>
      </w:pPr>
      <w:r>
        <w:rPr>
          <w:rFonts w:ascii="Calibri" w:cs="Calibri" w:eastAsia="Calibri" w:hAnsi="Calibri"/>
          <w:sz w:val="22"/>
          <w:szCs w:val="22"/>
        </w:rPr>
        <w:t xml:space="preserve">Ein Inhaber, alleinige Entscheidungsbefugnis, gesamter Gewinn.</w:t>
      </w:r>
    </w:p>
    <w:p>
      <w:pPr>
        <w:pStyle w:val="ListParagraph"/>
        <w:numPr>
          <w:ilvl w:val="0"/>
          <w:numId w:val="2"/>
        </w:numPr>
        <w:spacing w:after="60"/>
      </w:pPr>
      <w:r>
        <w:rPr>
          <w:rFonts w:ascii="Calibri" w:cs="Calibri" w:eastAsia="Calibri" w:hAnsi="Calibri"/>
          <w:sz w:val="22"/>
          <w:szCs w:val="22"/>
        </w:rPr>
        <w:t xml:space="preserve">Unbeschränkte Haftung, auch mit dem Privatvermögen.</w:t>
      </w:r>
    </w:p>
    <w:p>
      <w:pPr>
        <w:pStyle w:val="ListParagraph"/>
        <w:numPr>
          <w:ilvl w:val="0"/>
          <w:numId w:val="2"/>
        </w:numPr>
        <w:spacing w:after="60"/>
      </w:pPr>
      <w:r>
        <w:rPr>
          <w:rFonts w:ascii="Calibri" w:cs="Calibri" w:eastAsia="Calibri" w:hAnsi="Calibri"/>
          <w:sz w:val="22"/>
          <w:szCs w:val="22"/>
        </w:rPr>
        <w:t xml:space="preserve">Kein Mindestkapital, einfache Gründung.</w:t>
      </w:r>
    </w:p>
    <w:p>
      <w:pPr>
        <w:pStyle w:val="ListParagraph"/>
        <w:numPr>
          <w:ilvl w:val="0"/>
          <w:numId w:val="2"/>
        </w:numPr>
        <w:spacing w:after="60"/>
      </w:pPr>
      <w:r>
        <w:rPr>
          <w:rFonts w:ascii="Calibri" w:cs="Calibri" w:eastAsia="Calibri" w:hAnsi="Calibri"/>
          <w:sz w:val="22"/>
          <w:szCs w:val="22"/>
        </w:rPr>
        <w:t xml:space="preserve">Als Kaufmann Eintragung als e. K. in Abteilung A.</w:t>
      </w:r>
    </w:p>
    <w:p>
      <w:pPr>
        <w:pStyle w:val="Heading3"/>
        <w:spacing w:after="80" w:before="200"/>
      </w:pPr>
      <w:r>
        <w:rPr>
          <w:rFonts w:ascii="Calibri" w:cs="Calibri" w:eastAsia="Calibri" w:hAnsi="Calibri"/>
          <w:b/>
          <w:bCs/>
          <w:color w:val="003366"/>
          <w:sz w:val="23"/>
          <w:szCs w:val="23"/>
        </w:rPr>
        <w:t xml:space="preserve">5.2 Personengesellschaften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600"/>
        <w:gridCol w:w="2800"/>
        <w:gridCol w:w="2600"/>
        <w:gridCol w:w="2020"/>
      </w:tblGrid>
      <w:tr>
        <w:trPr>
          <w:tblHeader/>
        </w:trPr>
        <w:tc>
          <w:tcPr>
            <w:tcW w:type="dxa" w:w="1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Rechtsform</w:t>
            </w:r>
          </w:p>
        </w:tc>
        <w:tc>
          <w:tcPr>
            <w:tcW w:type="dxa" w:w="2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Gesellschafter</w:t>
            </w:r>
          </w:p>
        </w:tc>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Haftung</w:t>
            </w:r>
          </w:p>
        </w:tc>
        <w:tc>
          <w:tcPr>
            <w:tcW w:type="dxa" w:w="2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Register</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GbR</w:t>
            </w:r>
          </w:p>
        </w:tc>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Mindestens 2, gemeinsamer Zweck</w:t>
            </w:r>
          </w:p>
        </w:tc>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Persönlich und unbeschränkt</w:t>
            </w:r>
          </w:p>
        </w:tc>
        <w:tc>
          <w:tcPr>
            <w:tcW w:type="dxa" w:w="2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Gesellschaftsregister, Eintragung freiwillig (dann eGbR)</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OHG</w:t>
            </w:r>
          </w:p>
        </w:tc>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Mindestens 2, Betrieb eines Handelsgewerbes</w:t>
            </w:r>
          </w:p>
        </w:tc>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Persönlich, unbeschränkt und solidarisch</w:t>
            </w:r>
          </w:p>
        </w:tc>
        <w:tc>
          <w:tcPr>
            <w:tcW w:type="dxa" w:w="2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Handelsregister Abteilung A</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KG</w:t>
            </w:r>
          </w:p>
        </w:tc>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Mindestens 1 Komplementär und 1 Kommanditist</w:t>
            </w:r>
          </w:p>
        </w:tc>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Komplementär unbeschränkt, Kommanditist nur mit seiner Einlage</w:t>
            </w:r>
          </w:p>
        </w:tc>
        <w:tc>
          <w:tcPr>
            <w:tcW w:type="dxa" w:w="2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Handelsregister Abteilung A</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Seit dem MoPeG ist die GbR ausdrücklich rechtsfähig und kann selbst Trägerin von Rechten und Pflichten sein. Für den Erwerb von Grundstücken oder GmbH-Anteilen ist die Eintragung im Gesellschaftsregister erforderlich.</w:t>
      </w:r>
    </w:p>
    <w:p>
      <w:pPr>
        <w:pStyle w:val="Heading3"/>
        <w:spacing w:after="80" w:before="200"/>
      </w:pPr>
      <w:r>
        <w:rPr>
          <w:rFonts w:ascii="Calibri" w:cs="Calibri" w:eastAsia="Calibri" w:hAnsi="Calibri"/>
          <w:b/>
          <w:bCs/>
          <w:color w:val="003366"/>
          <w:sz w:val="23"/>
          <w:szCs w:val="23"/>
        </w:rPr>
        <w:t xml:space="preserve">5.3 Kapitalgesellschaften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900"/>
        <w:gridCol w:w="2900"/>
        <w:gridCol w:w="2200"/>
        <w:gridCol w:w="2020"/>
      </w:tblGrid>
      <w:tr>
        <w:trPr>
          <w:tblHeader/>
        </w:trPr>
        <w:tc>
          <w:tcPr>
            <w:tcW w:type="dxa" w:w="19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Rechtsform</w:t>
            </w:r>
          </w:p>
        </w:tc>
        <w:tc>
          <w:tcPr>
            <w:tcW w:type="dxa" w:w="29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Kapital</w:t>
            </w:r>
          </w:p>
        </w:tc>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Haftung</w:t>
            </w:r>
          </w:p>
        </w:tc>
        <w:tc>
          <w:tcPr>
            <w:tcW w:type="dxa" w:w="2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Organe</w:t>
            </w:r>
          </w:p>
        </w:tc>
      </w:tr>
      <w:tr>
        <w:tc>
          <w:tcPr>
            <w:tcW w:type="dxa" w:w="1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GmbH</w:t>
            </w:r>
          </w:p>
        </w:tc>
        <w:tc>
          <w:tcPr>
            <w:tcW w:type="dxa" w:w="2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Stammkapital 25.000 €; bei Bargründung müssen mindestens 12.500 € eingezahlt sein</w:t>
            </w:r>
          </w:p>
        </w:tc>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Beschränkt auf das Gesellschaftsvermögen</w:t>
            </w:r>
          </w:p>
        </w:tc>
        <w:tc>
          <w:tcPr>
            <w:tcW w:type="dxa" w:w="2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Geschäftsführung, Gesellschafterversammlung</w:t>
            </w:r>
          </w:p>
        </w:tc>
      </w:tr>
      <w:tr>
        <w:tc>
          <w:tcPr>
            <w:tcW w:type="dxa" w:w="19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UG (haftungsbeschränkt)</w:t>
            </w:r>
          </w:p>
        </w:tc>
        <w:tc>
          <w:tcPr>
            <w:tcW w:type="dxa" w:w="29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 1 €, vollständig einzuzahlen; Sacheinlagen ausgeschlossen</w:t>
            </w:r>
          </w:p>
        </w:tc>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Beschränkt auf das Gesellschaftsvermögen</w:t>
            </w:r>
          </w:p>
        </w:tc>
        <w:tc>
          <w:tcPr>
            <w:tcW w:type="dxa" w:w="2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Geschäftsführung, Gesellschafterversammlung</w:t>
            </w:r>
          </w:p>
        </w:tc>
      </w:tr>
      <w:tr>
        <w:tc>
          <w:tcPr>
            <w:tcW w:type="dxa" w:w="1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AG</w:t>
            </w:r>
          </w:p>
        </w:tc>
        <w:tc>
          <w:tcPr>
            <w:tcW w:type="dxa" w:w="29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Grundkapital 50.000 €, zerlegt in Aktien</w:t>
            </w:r>
          </w:p>
        </w:tc>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Beschränkt auf das Gesellschaftsvermögen</w:t>
            </w:r>
          </w:p>
        </w:tc>
        <w:tc>
          <w:tcPr>
            <w:tcW w:type="dxa" w:w="2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Vorstand (Leitung), Aufsichtsrat (Kontrolle), Hauptversammlung</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Beide Kapitalgesellschaften erfordern einen notariell beurkundeten Gesellschaftsvertrag und die Eintragung in Abteilung B. Die GmbH entsteht als solche erst mit der Eintragung – hier wirkt die Eintragung konstitutiv.</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Die UG ist keine eigene Rechtsform neben der GmbH, sondern eine GmbH-Variante mit reduziertem Startkapital.</w:t>
            </w:r>
          </w:p>
          <w:p>
            <w:pPr>
              <w:spacing w:after="40"/>
            </w:pPr>
            <w:r>
              <w:rPr>
                <w:rFonts w:ascii="Calibri" w:cs="Calibri" w:eastAsia="Calibri" w:hAnsi="Calibri"/>
                <w:sz w:val="21"/>
                <w:szCs w:val="21"/>
              </w:rPr>
              <w:t xml:space="preserve">Ansparpflicht: Ein Viertel des Jahresüberschusses wird in eine gesetzliche Rücklage eingestellt, bis das Stammkapital auf 25.000 € erhöht werden kann. Die Umwandlung in eine GmbH ist dann ein Recht, keine Pflicht – ältere Darstellungen behaupten häufig das Gegenteil.</w:t>
            </w:r>
          </w:p>
          <w:p>
            <w:pPr>
              <w:spacing w:after="40"/>
            </w:pPr>
            <w:r>
              <w:rPr>
                <w:rFonts w:ascii="Calibri" w:cs="Calibri" w:eastAsia="Calibri" w:hAnsi="Calibri"/>
                <w:sz w:val="21"/>
                <w:szCs w:val="21"/>
              </w:rPr>
              <w:t xml:space="preserve">Beschränkte Haftung bedeutet: Die Gesellschaft haftet mit ihrem gesamten Vermögen, die Gesellschafter haften darüber hinaus nicht. Sie bedeutet nicht, dass die Haftung auf 25.000 € begrenzt wäre.</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Mischform: Die GmbH &amp; Co. KG ist eine KG, deren Komplementär eine GmbH ist. Dadurch haftet keine natürliche Person unbeschränkt. In der Praxis verlangen Banken bei jungen Gesellschaften häufig persönliche Bürgschaften; die Haftungsbeschränkung wird damit vertraglich durchbrochen. Geschäftsführer haften zudem persönlich bei Pflichtverletzungen.</w:t>
      </w:r>
    </w:p>
    <w:p>
      <w:pPr>
        <w:pStyle w:val="Heading3"/>
        <w:spacing w:after="80" w:before="200"/>
      </w:pPr>
      <w:r>
        <w:rPr>
          <w:rFonts w:ascii="Calibri" w:cs="Calibri" w:eastAsia="Calibri" w:hAnsi="Calibri"/>
          <w:b/>
          <w:bCs/>
          <w:color w:val="003366"/>
          <w:sz w:val="23"/>
          <w:szCs w:val="23"/>
        </w:rPr>
        <w:t xml:space="preserve">5.4 Auswahlkriterien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Kriterium</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Leitfrage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Haftung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Wie viel privates Risiko ist tragbar?</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Kapitalbedarf</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Wie viel Startkapital steht bereit, wie wird später finanziert?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Gründungsaufwand</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Notar, Register, Publizitätspflichten, laufende Kosten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Leitungsbefugnis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 entscheidet, wer wird beteiligt?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Gewinnverteilung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 Anteilen oder nach Vereinbarung?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Außenwirkung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Wirkung auf Kunden, Banken und öffentliche Auftraggeber</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Unterschiedliche Besteuerung von Personen- und Kapitalgesellschaften</w:t>
            </w:r>
          </w:p>
        </w:tc>
      </w:tr>
    </w:tbl>
    <w:p>
      <w:pPr>
        <w:spacing w:after="140"/>
      </w:pPr>
    </w:p>
    <w:p>
      <w:pPr>
        <w:pStyle w:val="Heading2"/>
        <w:spacing w:after="120" w:before="280"/>
      </w:pPr>
      <w:r>
        <w:rPr>
          <w:rFonts w:ascii="Calibri" w:cs="Calibri" w:eastAsia="Calibri" w:hAnsi="Calibri"/>
          <w:b/>
          <w:bCs/>
          <w:color w:val="0066AA"/>
          <w:sz w:val="26"/>
          <w:szCs w:val="26"/>
        </w:rPr>
        <w:t xml:space="preserve">6 Kurzcheck</w:t>
      </w:r>
    </w:p>
    <w:p>
      <w:pPr>
        <w:pStyle w:val="ListParagraph"/>
        <w:numPr>
          <w:ilvl w:val="0"/>
          <w:numId w:val="2"/>
        </w:numPr>
        <w:spacing w:after="60"/>
      </w:pPr>
      <w:r>
        <w:rPr>
          <w:rFonts w:ascii="Calibri" w:cs="Calibri" w:eastAsia="Calibri" w:hAnsi="Calibri"/>
          <w:sz w:val="22"/>
          <w:szCs w:val="22"/>
        </w:rPr>
        <w:t xml:space="preserve">Ich kann Ist-, Kann- und Formkaufmann unterscheiden.</w:t>
      </w:r>
    </w:p>
    <w:p>
      <w:pPr>
        <w:pStyle w:val="ListParagraph"/>
        <w:numPr>
          <w:ilvl w:val="0"/>
          <w:numId w:val="2"/>
        </w:numPr>
        <w:spacing w:after="60"/>
      </w:pPr>
      <w:r>
        <w:rPr>
          <w:rFonts w:ascii="Calibri" w:cs="Calibri" w:eastAsia="Calibri" w:hAnsi="Calibri"/>
          <w:sz w:val="22"/>
          <w:szCs w:val="22"/>
        </w:rPr>
        <w:t xml:space="preserve">Ich kann deklaratorische und konstitutive Eintragung erklären.</w:t>
      </w:r>
    </w:p>
    <w:p>
      <w:pPr>
        <w:pStyle w:val="ListParagraph"/>
        <w:numPr>
          <w:ilvl w:val="0"/>
          <w:numId w:val="2"/>
        </w:numPr>
        <w:spacing w:after="60"/>
      </w:pPr>
      <w:r>
        <w:rPr>
          <w:rFonts w:ascii="Calibri" w:cs="Calibri" w:eastAsia="Calibri" w:hAnsi="Calibri"/>
          <w:sz w:val="22"/>
          <w:szCs w:val="22"/>
        </w:rPr>
        <w:t xml:space="preserve">Ich kann die Firmenarten und sechs Firmengrundsätze benennen.</w:t>
      </w:r>
    </w:p>
    <w:p>
      <w:pPr>
        <w:pStyle w:val="ListParagraph"/>
        <w:numPr>
          <w:ilvl w:val="0"/>
          <w:numId w:val="2"/>
        </w:numPr>
        <w:spacing w:after="60"/>
      </w:pPr>
      <w:r>
        <w:rPr>
          <w:rFonts w:ascii="Calibri" w:cs="Calibri" w:eastAsia="Calibri" w:hAnsi="Calibri"/>
          <w:sz w:val="22"/>
          <w:szCs w:val="22"/>
        </w:rPr>
        <w:t xml:space="preserve">Ich kann HRA und HRB zuordnen und die Funktionen des Registers erklären.</w:t>
      </w:r>
    </w:p>
    <w:p>
      <w:pPr>
        <w:pStyle w:val="ListParagraph"/>
        <w:numPr>
          <w:ilvl w:val="0"/>
          <w:numId w:val="2"/>
        </w:numPr>
        <w:spacing w:after="60"/>
      </w:pPr>
      <w:r>
        <w:rPr>
          <w:rFonts w:ascii="Calibri" w:cs="Calibri" w:eastAsia="Calibri" w:hAnsi="Calibri"/>
          <w:sz w:val="22"/>
          <w:szCs w:val="22"/>
        </w:rPr>
        <w:t xml:space="preserve">Ich kann Umfang und Grenzen der Prokura benennen.</w:t>
      </w:r>
    </w:p>
    <w:p>
      <w:pPr>
        <w:pStyle w:val="ListParagraph"/>
        <w:numPr>
          <w:ilvl w:val="0"/>
          <w:numId w:val="2"/>
        </w:numPr>
        <w:spacing w:after="60"/>
      </w:pPr>
      <w:r>
        <w:rPr>
          <w:rFonts w:ascii="Calibri" w:cs="Calibri" w:eastAsia="Calibri" w:hAnsi="Calibri"/>
          <w:sz w:val="22"/>
          <w:szCs w:val="22"/>
        </w:rPr>
        <w:t xml:space="preserve">Ich kann Prokura und Handlungsvollmacht abgrenzen.</w:t>
      </w:r>
    </w:p>
    <w:p>
      <w:pPr>
        <w:pStyle w:val="ListParagraph"/>
        <w:numPr>
          <w:ilvl w:val="0"/>
          <w:numId w:val="2"/>
        </w:numPr>
        <w:spacing w:after="60"/>
      </w:pPr>
      <w:r>
        <w:rPr>
          <w:rFonts w:ascii="Calibri" w:cs="Calibri" w:eastAsia="Calibri" w:hAnsi="Calibri"/>
          <w:sz w:val="22"/>
          <w:szCs w:val="22"/>
        </w:rPr>
        <w:t xml:space="preserve">Ich kann die Rechtsformen nach Haftung, Kapital und Organen vergleichen.</w:t>
      </w:r>
    </w:p>
    <w:p>
      <w:pPr>
        <w:pStyle w:val="ListParagraph"/>
        <w:numPr>
          <w:ilvl w:val="0"/>
          <w:numId w:val="2"/>
        </w:numPr>
        <w:spacing w:after="60"/>
      </w:pPr>
      <w:r>
        <w:rPr>
          <w:rFonts w:ascii="Calibri" w:cs="Calibri" w:eastAsia="Calibri" w:hAnsi="Calibri"/>
          <w:sz w:val="22"/>
          <w:szCs w:val="22"/>
        </w:rPr>
        <w:t xml:space="preserve">Ich kann erklären, was beschränkte Haftung tatsächlich bedeutet.</w:t>
      </w:r>
    </w:p>
    <w:p>
      <w:pPr>
        <w:pStyle w:val="ListParagraph"/>
        <w:numPr>
          <w:ilvl w:val="0"/>
          <w:numId w:val="2"/>
        </w:numPr>
        <w:spacing w:after="60"/>
      </w:pPr>
      <w:r>
        <w:rPr>
          <w:rFonts w:ascii="Calibri" w:cs="Calibri" w:eastAsia="Calibri" w:hAnsi="Calibri"/>
          <w:sz w:val="22"/>
          <w:szCs w:val="22"/>
        </w:rPr>
        <w:t xml:space="preserve">Ich kann für einen Gründungsfall eine Rechtsform begründet empfehlen.</w:t>
      </w:r>
    </w:p>
    <w:p>
      <w:pPr>
        <w:pStyle w:val="Heading2"/>
        <w:spacing w:after="120" w:before="280"/>
      </w:pPr>
      <w:r>
        <w:rPr>
          <w:rFonts w:ascii="Calibri" w:cs="Calibri" w:eastAsia="Calibri" w:hAnsi="Calibri"/>
          <w:b/>
          <w:bCs/>
          <w:color w:val="0066AA"/>
          <w:sz w:val="26"/>
          <w:szCs w:val="26"/>
        </w:rPr>
        <w:t xml:space="preserve">7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deklaratorisch</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 Eintragung bestätigt eine bereits bestehende Rechtslage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eGbR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 Gesellschaftsregister eingetragene Gesellschaft bürgerlichen Rechts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Firma</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Name, unter dem ein Kaufmann Geschäfte betreibt (§ 17 HGB)</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Formkaufmann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Kaufmann kraft Rechtsform, etwa GmbH oder AG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Grundlagengeschäft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 das das Unternehmen als solches betrifft; nicht von der Prokura gedeckt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Handelsregister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Öffentliches Verzeichnis der Kaufleute, Abteilungen A und B</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Handlungsvollmacht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Vom Inhaber erteilte Vollmacht für gewöhnliche Geschäfte, Zeichnung i. V. oder i. A.</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Istkaufmann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Kaufmann kraft Gesetzes wegen Betriebs eines Handelsgewerbes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Kannkaufmann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Wird durch Eintragung zum Kaufmann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Komplementär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Persönlich und unbeschränkt haftender Gesellschafter einer KG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Kommanditist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mit seiner Einlage haftender Gesellschafter einer KG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konstitutiv</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 Eintragung erzeugt die Rechtsfolge erst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MoPeG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Gesetz zur Modernisierung des Personengesellschaftsrechts, in Kraft seit 2024</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Prokura</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Weitreichende kaufmännische Vollmacht, Zeichnung ppa.</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Stammkapital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Nennkapital einer GmbH oder UG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UG (haftungsbeschränkt)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GmbH-Variante mit reduziertem Startkapital und Ansparpflicht</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07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07 – Firma, Register, Vollmachten, Rechtsformen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07 – Handout</dc:title>
  <dc:creator>bfw Lübeck</dc:creator>
  <cp:lastModifiedBy>Un-named</cp:lastModifiedBy>
  <cp:revision>1</cp:revision>
  <dcterms:created xsi:type="dcterms:W3CDTF">2026-08-04T16:37:28.971Z</dcterms:created>
  <dcterms:modified xsi:type="dcterms:W3CDTF">2026-08-04T16:37:28.984Z</dcterms:modified>
</cp:coreProperties>
</file>

<file path=docProps/custom.xml><?xml version="1.0" encoding="utf-8"?>
<Properties xmlns="http://schemas.openxmlformats.org/officeDocument/2006/custom-properties" xmlns:vt="http://schemas.openxmlformats.org/officeDocument/2006/docPropsVTypes"/>
</file>