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pBdr>
          <w:bottom w:val="single" w:color="F0A500" w:sz="12" w:space="4"/>
        </w:pBdr>
        <w:spacing w:after="200" w:before="120"/>
      </w:pPr>
      <w:r>
        <w:rPr>
          <w:rFonts w:ascii="Calibri" w:cs="Calibri" w:eastAsia="Calibri" w:hAnsi="Calibri"/>
          <w:b/>
          <w:bCs/>
          <w:color w:val="003366"/>
          <w:sz w:val="34"/>
          <w:szCs w:val="34"/>
        </w:rPr>
        <w:t xml:space="preserve">LE 05 – Arbeits-, Gesundheits- und Umweltschutz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  <w:color w:val="0066AA"/>
          <w:sz w:val="22"/>
          <w:szCs w:val="22"/>
        </w:rPr>
        <w:t xml:space="preserve">Modul A – Der Betrieb und sein Umfeld · Lernfeld 1 · 8 Unterrichtseinheiten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/>
          <w:iCs/>
          <w:color w:val="1A1A1A"/>
          <w:sz w:val="22"/>
          <w:szCs w:val="22"/>
        </w:rPr>
        <w:t xml:space="preserve">Handout zur Präsentation. Aufgabenblatt und Musterlösungen liegen separat bei.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/>
          <w:iCs/>
          <w:color w:val="1A1A1A"/>
          <w:sz w:val="19"/>
          <w:szCs w:val="19"/>
        </w:rPr>
        <w:t xml:space="preserve">KONTURA IT-Solutions ist ein frei erfundenes Modellunternehmen. Rechtsangaben nach dem Stand August 2026; im Einzelfall gelten Tarifverträge und Betriebsvereinbarungen.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Lernziele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Den rechtlichen Rahmen des Arbeitsschutzes benennen.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Die Beteiligten im Arbeitsschutz und ihre Aufgaben unterscheiden.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Die Gefährdungsbeurteilung als Verfahren beschreiben und anwenden.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Regeln zu Arbeitszeit, Pausen und Ruhezeit auf Fälle anwenden.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Gefährdungen am IT-Arbeitsplatz erkennen und Maßnahmen ableiten.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Maßnahmen der Nachhaltigkeit im IT-Betrieb begründen und priorisieren.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Istaufnahmetechniken unterscheiden und für eine Fragestellung auswählen.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1 Rechtlicher Rahmen</w:t>
      </w:r>
    </w:p>
    <w:tbl>
      <w:tblPr>
        <w:tblW w:type="dxa" w:w="9020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2"/>
          <w:insideV w:val="single" w:color="D6E4F0" w:sz="2"/>
        </w:tblBorders>
        <w:tblLayout w:type="fixed"/>
      </w:tblPr>
      <w:tblGrid>
        <w:gridCol w:w="2600"/>
        <w:gridCol w:w="6420"/>
      </w:tblGrid>
      <w:tr>
        <w:trPr>
          <w:tblHeader/>
        </w:trPr>
        <w:tc>
          <w:tcPr>
            <w:tcW w:type="dxa" w:w="26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Regelwerk</w:t>
            </w:r>
          </w:p>
        </w:tc>
        <w:tc>
          <w:tcPr>
            <w:tcW w:type="dxa" w:w="642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Inhalt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Arbeitsschutzgesetz</w:t>
            </w:r>
          </w:p>
        </w:tc>
        <w:tc>
          <w:tcPr>
            <w:tcW w:type="dxa" w:w="64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Grundpflichten des Arbeitgebers, Gefährdungsbeurteilung, Unterweisung, Übertragung von Aufgaben</w:t>
            </w:r>
          </w:p>
        </w:tc>
      </w:tr>
      <w:tr>
        <w:tc>
          <w:tcPr>
            <w:tcW w:type="dxa" w:w="26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Arbeitszeitgesetz</w:t>
            </w:r>
          </w:p>
        </w:tc>
        <w:tc>
          <w:tcPr>
            <w:tcW w:type="dxa" w:w="64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Höchstarbeitszeit, Ruhepausen, Ruhezeit, Sonn- und Feiertagsarbeit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Arbeitsstättenverordnung</w:t>
            </w:r>
          </w:p>
        </w:tc>
        <w:tc>
          <w:tcPr>
            <w:tcW w:type="dxa" w:w="64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Gestaltung von Arbeitsräumen, Anforderungen an Bildschirmarbeitsplätze</w:t>
            </w:r>
          </w:p>
        </w:tc>
      </w:tr>
      <w:tr>
        <w:tc>
          <w:tcPr>
            <w:tcW w:type="dxa" w:w="26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Jugendarbeitsschutzgesetz</w:t>
            </w:r>
          </w:p>
        </w:tc>
        <w:tc>
          <w:tcPr>
            <w:tcW w:type="dxa" w:w="64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Besondere Schutzregeln für Beschäftigte unter 18 Jahren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Mutterschutzgesetz</w:t>
            </w:r>
          </w:p>
        </w:tc>
        <w:tc>
          <w:tcPr>
            <w:tcW w:type="dxa" w:w="64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Schutz vor und nach der Geburt, Beschäftigungsverbote</w:t>
            </w:r>
          </w:p>
        </w:tc>
      </w:tr>
      <w:tr>
        <w:tc>
          <w:tcPr>
            <w:tcW w:type="dxa" w:w="26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DGUV-Vorschriften</w:t>
            </w:r>
          </w:p>
        </w:tc>
        <w:tc>
          <w:tcPr>
            <w:tcW w:type="dxa" w:w="64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Unfallverhütungsvorschriften der gesetzlichen Unfallversicherung</w:t>
            </w:r>
          </w:p>
        </w:tc>
      </w:tr>
    </w:tbl>
    <w:p>
      <w:pPr>
        <w:spacing w:after="140"/>
      </w:pPr>
    </w:p>
    <w:tbl>
      <w:tblPr>
        <w:tblW w:type="dxa" w:w="9020"/>
        <w:tblBorders>
          <w:top w:val="none"/>
          <w:left w:val="single" w:color="003366" w:sz="18"/>
          <w:bottom w:val="none"/>
          <w:right w:val="none"/>
          <w:insideH w:val="none"/>
          <w:insideV w:val="none"/>
        </w:tblBorders>
        <w:tblLayout w:type="fixed"/>
      </w:tblPr>
      <w:tblGrid>
        <w:gridCol w:w="9020"/>
      </w:tblGrid>
      <w:tr>
        <w:tc>
          <w:tcPr>
            <w:tcW w:type="dxa" w:w="9020"/>
            <w:shd w:fill="D6E4F0" w:color="auto" w:val="clear"/>
            <w:tcMar>
              <w:top w:type="dxa" w:w="120"/>
              <w:left w:type="dxa" w:w="160"/>
              <w:bottom w:type="dxa" w:w="120"/>
              <w:right w:type="dxa" w:w="1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Merke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Die gesetzliche Unfallversicherung wird von den Berufsgenossenschaften getragen. Die Beiträge zahlt der Arbeitgeber allein – das unterscheidet sie von Kranken-, Pflege-, Renten- und Arbeitslosenversicherung.</w:t>
            </w:r>
          </w:p>
        </w:tc>
      </w:tr>
    </w:tbl>
    <w:p>
      <w:pPr>
        <w:spacing w:after="140"/>
      </w:pP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2 Beteiligte und ihre Aufgaben</w:t>
      </w:r>
    </w:p>
    <w:tbl>
      <w:tblPr>
        <w:tblW w:type="dxa" w:w="9020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2"/>
          <w:insideV w:val="single" w:color="D6E4F0" w:sz="2"/>
        </w:tblBorders>
        <w:tblLayout w:type="fixed"/>
      </w:tblPr>
      <w:tblGrid>
        <w:gridCol w:w="2200"/>
        <w:gridCol w:w="3400"/>
        <w:gridCol w:w="3420"/>
      </w:tblGrid>
      <w:tr>
        <w:trPr>
          <w:tblHeader/>
        </w:trPr>
        <w:tc>
          <w:tcPr>
            <w:tcW w:type="dxa" w:w="22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Beteiligte</w:t>
            </w:r>
          </w:p>
        </w:tc>
        <w:tc>
          <w:tcPr>
            <w:tcW w:type="dxa" w:w="34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Aufgabe</w:t>
            </w:r>
          </w:p>
        </w:tc>
        <w:tc>
          <w:tcPr>
            <w:tcW w:type="dxa" w:w="342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Befugnis</w:t>
            </w:r>
          </w:p>
        </w:tc>
      </w:tr>
      <w:tr>
        <w:tc>
          <w:tcPr>
            <w:tcW w:type="dxa" w:w="22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Arbeitgeber</w:t>
            </w:r>
          </w:p>
        </w:tc>
        <w:tc>
          <w:tcPr>
            <w:tcW w:type="dxa" w:w="3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Trägt die Verantwortung für den Arbeitsschutz</w:t>
            </w:r>
          </w:p>
        </w:tc>
        <w:tc>
          <w:tcPr>
            <w:tcW w:type="dxa" w:w="34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Kann Aufgaben übertragen, nicht aber die Verantwortung abgeben</w:t>
            </w:r>
          </w:p>
        </w:tc>
      </w:tr>
      <w:tr>
        <w:tc>
          <w:tcPr>
            <w:tcW w:type="dxa" w:w="22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Fachkraft für Arbeitssicherheit</w:t>
            </w:r>
          </w:p>
        </w:tc>
        <w:tc>
          <w:tcPr>
            <w:tcW w:type="dxa" w:w="34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Berät bei Gestaltung, Beurteilung und Unterweisung</w:t>
            </w:r>
          </w:p>
        </w:tc>
        <w:tc>
          <w:tcPr>
            <w:tcW w:type="dxa" w:w="34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Stabsstelle, keine Weisungsbefugnis</w:t>
            </w:r>
          </w:p>
        </w:tc>
      </w:tr>
      <w:tr>
        <w:tc>
          <w:tcPr>
            <w:tcW w:type="dxa" w:w="22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Betriebsarzt</w:t>
            </w:r>
          </w:p>
        </w:tc>
        <w:tc>
          <w:tcPr>
            <w:tcW w:type="dxa" w:w="3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Arbeitsmedizinische Vorsorge und Beratung</w:t>
            </w:r>
          </w:p>
        </w:tc>
        <w:tc>
          <w:tcPr>
            <w:tcW w:type="dxa" w:w="34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Beratend, unterliegt der Schweigepflicht</w:t>
            </w:r>
          </w:p>
        </w:tc>
      </w:tr>
      <w:tr>
        <w:tc>
          <w:tcPr>
            <w:tcW w:type="dxa" w:w="22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Sicherheitsbeauftragte</w:t>
            </w:r>
          </w:p>
        </w:tc>
        <w:tc>
          <w:tcPr>
            <w:tcW w:type="dxa" w:w="34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Achten im Arbeitsalltag auf Sicherheit, Bindeglied zur Belegschaft</w:t>
            </w:r>
          </w:p>
        </w:tc>
        <w:tc>
          <w:tcPr>
            <w:tcW w:type="dxa" w:w="34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Unterstützend, keine Weisungsbefugnis</w:t>
            </w:r>
          </w:p>
        </w:tc>
      </w:tr>
      <w:tr>
        <w:tc>
          <w:tcPr>
            <w:tcW w:type="dxa" w:w="22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Berufsgenossenschaft</w:t>
            </w:r>
          </w:p>
        </w:tc>
        <w:tc>
          <w:tcPr>
            <w:tcW w:type="dxa" w:w="3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Unfallverhütung, Beratung, Leistungen nach Unfällen und Berufskrankheiten</w:t>
            </w:r>
          </w:p>
        </w:tc>
        <w:tc>
          <w:tcPr>
            <w:tcW w:type="dxa" w:w="34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Erlässt Vorschriften, überwacht deren Einhaltung</w:t>
            </w:r>
          </w:p>
        </w:tc>
      </w:tr>
      <w:tr>
        <w:tc>
          <w:tcPr>
            <w:tcW w:type="dxa" w:w="22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Beschäftigte</w:t>
            </w:r>
          </w:p>
        </w:tc>
        <w:tc>
          <w:tcPr>
            <w:tcW w:type="dxa" w:w="34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Vorgaben einhalten, Gefahren und Mängel melden, Schutzausrüstung nutzen</w:t>
            </w:r>
          </w:p>
        </w:tc>
        <w:tc>
          <w:tcPr>
            <w:tcW w:type="dxa" w:w="34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Mitwirkungspflicht</w:t>
            </w:r>
          </w:p>
        </w:tc>
      </w:tr>
    </w:tbl>
    <w:p>
      <w:pPr>
        <w:spacing w:after="140"/>
      </w:pP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3 Die Gefährdungsbeurteilung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Arbeitsbereiche und Tätigkeiten festlegen.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Gefährdungen ermitteln.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Risiko beurteilen.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Maßnahmen festlegen.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Maßnahmen umsetzen.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Wirksamkeit überprüfen.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Ergebnis dokumentieren und bei Veränderungen fortschreiben.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Die Beurteilung wird wiederholt, wenn sich etwas ändert: neue Tätigkeit, neues Gerät, neuer Arbeitsplatz oder nach einem Unfall.</w:t>
      </w:r>
    </w:p>
    <w:p>
      <w:pPr>
        <w:pStyle w:val="Heading3"/>
        <w:spacing w:after="80" w:before="200"/>
      </w:pPr>
      <w:r>
        <w:rPr>
          <w:rFonts w:ascii="Calibri" w:cs="Calibri" w:eastAsia="Calibri" w:hAnsi="Calibri"/>
          <w:b/>
          <w:bCs/>
          <w:color w:val="003366"/>
          <w:sz w:val="23"/>
          <w:szCs w:val="23"/>
        </w:rPr>
        <w:t xml:space="preserve">3.1 Rangfolge der Maßnahmen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Gefahr beseitigen oder ersetzen – zum Beispiel schwere Geräte per Hubwagen statt von Hand bewegen.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Technisch abschirmen – zum Beispiel Absturzsicherung, abgedeckte Verteiler.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Organisatorisch regeln – zum Beispiel Zwei-Personen-Regel bei Arbeiten im Serverraum.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Persönliche Schutzausrüstung – zuletzt, weil sie nur den Einzelnen und nur bei korrekter Nutzung schützt.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Die Unterweisung macht die Ergebnisse für die Beschäftigten wirksam: vor Aufnahme der Tätigkeit, danach regelmäßig und zusätzlich bei Veränderungen. Sie wird dokumentiert.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4 Arbeitszeit, Pausen und Ruhezeit</w:t>
      </w:r>
    </w:p>
    <w:tbl>
      <w:tblPr>
        <w:tblW w:type="dxa" w:w="9020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2"/>
          <w:insideV w:val="single" w:color="D6E4F0" w:sz="2"/>
        </w:tblBorders>
        <w:tblLayout w:type="fixed"/>
      </w:tblPr>
      <w:tblGrid>
        <w:gridCol w:w="2600"/>
        <w:gridCol w:w="6420"/>
      </w:tblGrid>
      <w:tr>
        <w:trPr>
          <w:tblHeader/>
        </w:trPr>
        <w:tc>
          <w:tcPr>
            <w:tcW w:type="dxa" w:w="26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Regel</w:t>
            </w:r>
          </w:p>
        </w:tc>
        <w:tc>
          <w:tcPr>
            <w:tcW w:type="dxa" w:w="642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Vorgabe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Werktägliche Höchstarbeitszeit</w:t>
            </w:r>
          </w:p>
        </w:tc>
        <w:tc>
          <w:tcPr>
            <w:tcW w:type="dxa" w:w="64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8 Stunden; Verlängerung auf 10 Stunden möglich, wenn im gesetzlichen Ausgleichszeitraum im Durchschnitt 8 Stunden nicht überschritten werden</w:t>
            </w:r>
          </w:p>
        </w:tc>
      </w:tr>
      <w:tr>
        <w:tc>
          <w:tcPr>
            <w:tcW w:type="dxa" w:w="26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Ruhepause</w:t>
            </w:r>
          </w:p>
        </w:tc>
        <w:tc>
          <w:tcPr>
            <w:tcW w:type="dxa" w:w="64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Bei mehr als 6 bis zu 9 Stunden mindestens 30 Minuten, bei mehr als 9 Stunden mindestens 45 Minuten; Aufteilung in Abschnitte von jeweils mindestens 15 Minuten möglich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Ruhezeit</w:t>
            </w:r>
          </w:p>
        </w:tc>
        <w:tc>
          <w:tcPr>
            <w:tcW w:type="dxa" w:w="64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Mindestens 11 Stunden ununterbrochen zwischen Beendigung und Wiederaufnahme der Arbeit</w:t>
            </w:r>
          </w:p>
        </w:tc>
      </w:tr>
      <w:tr>
        <w:tc>
          <w:tcPr>
            <w:tcW w:type="dxa" w:w="26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Jugendliche</w:t>
            </w:r>
          </w:p>
        </w:tc>
        <w:tc>
          <w:tcPr>
            <w:tcW w:type="dxa" w:w="64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Strengere Grenzen nach dem Jugendarbeitsschutzgesetz, unter anderem längere Pausen und engere Zeitfenster</w:t>
            </w:r>
          </w:p>
        </w:tc>
      </w:tr>
    </w:tbl>
    <w:p>
      <w:pPr>
        <w:spacing w:after="140"/>
      </w:pPr>
    </w:p>
    <w:tbl>
      <w:tblPr>
        <w:tblW w:type="dxa" w:w="9020"/>
        <w:tblBorders>
          <w:top w:val="none"/>
          <w:left w:val="single" w:color="F0A500" w:sz="18"/>
          <w:bottom w:val="none"/>
          <w:right w:val="none"/>
          <w:insideH w:val="none"/>
          <w:insideV w:val="none"/>
        </w:tblBorders>
        <w:tblLayout w:type="fixed"/>
      </w:tblPr>
      <w:tblGrid>
        <w:gridCol w:w="9020"/>
      </w:tblGrid>
      <w:tr>
        <w:tc>
          <w:tcPr>
            <w:tcW w:type="dxa" w:w="9020"/>
            <w:shd w:fill="FFF4DC" w:color="auto" w:val="clear"/>
            <w:tcMar>
              <w:top w:type="dxa" w:w="120"/>
              <w:left w:type="dxa" w:w="160"/>
              <w:bottom w:type="dxa" w:w="120"/>
              <w:right w:type="dxa" w:w="1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Typische Prüfungsfalle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Rufbereitschaft ist der Klassiker: Wird ein Beschäftigter nachts zu einem Einsatz gerufen, beginnt die Ruhezeit danach in der Regel neu. Wer um 2 Uhr eine Stunde arbeitet, kann nicht um 8 Uhr regulär wieder anfangen. Das wird in Prüfungsaufgaben gern anhand eines Wochenplans abgefragt.</w:t>
            </w:r>
          </w:p>
        </w:tc>
      </w:tr>
    </w:tbl>
    <w:p>
      <w:pPr>
        <w:spacing w:after="140"/>
      </w:pP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5 Gefährdungen am IT-Arbeitsplatz</w:t>
      </w:r>
    </w:p>
    <w:tbl>
      <w:tblPr>
        <w:tblW w:type="dxa" w:w="9020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2"/>
          <w:insideV w:val="single" w:color="D6E4F0" w:sz="2"/>
        </w:tblBorders>
        <w:tblLayout w:type="fixed"/>
      </w:tblPr>
      <w:tblGrid>
        <w:gridCol w:w="2000"/>
        <w:gridCol w:w="3300"/>
        <w:gridCol w:w="3720"/>
      </w:tblGrid>
      <w:tr>
        <w:trPr>
          <w:tblHeader/>
        </w:trPr>
        <w:tc>
          <w:tcPr>
            <w:tcW w:type="dxa" w:w="20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Gefährdung</w:t>
            </w:r>
          </w:p>
        </w:tc>
        <w:tc>
          <w:tcPr>
            <w:tcW w:type="dxa" w:w="33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Beispiel</w:t>
            </w:r>
          </w:p>
        </w:tc>
        <w:tc>
          <w:tcPr>
            <w:tcW w:type="dxa" w:w="372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Maßnahme</w:t>
            </w:r>
          </w:p>
        </w:tc>
      </w:tr>
      <w:tr>
        <w:tc>
          <w:tcPr>
            <w:tcW w:type="dxa" w:w="20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Bildschirmarbeit</w:t>
            </w:r>
          </w:p>
        </w:tc>
        <w:tc>
          <w:tcPr>
            <w:tcW w:type="dxa" w:w="33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Augen, Nacken, Rücken bei langer Sitzdauer</w:t>
            </w:r>
          </w:p>
        </w:tc>
        <w:tc>
          <w:tcPr>
            <w:tcW w:type="dxa" w:w="37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Ergonomische Ausstattung, Tätigkeitswechsel, Vorsorgeangebot</w:t>
            </w:r>
          </w:p>
        </w:tc>
      </w:tr>
      <w:tr>
        <w:tc>
          <w:tcPr>
            <w:tcW w:type="dxa" w:w="20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Heben und Tragen</w:t>
            </w:r>
          </w:p>
        </w:tc>
        <w:tc>
          <w:tcPr>
            <w:tcW w:type="dxa" w:w="33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Server, USV, Monitore im Rollout</w:t>
            </w:r>
          </w:p>
        </w:tc>
        <w:tc>
          <w:tcPr>
            <w:tcW w:type="dxa" w:w="37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Hilfsmittel, Zwei-Personen-Regel, Unterweisung</w:t>
            </w:r>
          </w:p>
        </w:tc>
      </w:tr>
      <w:tr>
        <w:tc>
          <w:tcPr>
            <w:tcW w:type="dxa" w:w="20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Elektrische Gefahren</w:t>
            </w:r>
          </w:p>
        </w:tc>
        <w:tc>
          <w:tcPr>
            <w:tcW w:type="dxa" w:w="33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Arbeiten an Geräten und Verteilern</w:t>
            </w:r>
          </w:p>
        </w:tc>
        <w:tc>
          <w:tcPr>
            <w:tcW w:type="dxa" w:w="37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Nur befähigte Personen, Freischalten, geprüfte Werkzeuge</w:t>
            </w:r>
          </w:p>
        </w:tc>
      </w:tr>
      <w:tr>
        <w:tc>
          <w:tcPr>
            <w:tcW w:type="dxa" w:w="20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Alleinarbeit</w:t>
            </w:r>
          </w:p>
        </w:tc>
        <w:tc>
          <w:tcPr>
            <w:tcW w:type="dxa" w:w="33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Einsatz im Rechenzentrum außerhalb der Regelzeit</w:t>
            </w:r>
          </w:p>
        </w:tc>
        <w:tc>
          <w:tcPr>
            <w:tcW w:type="dxa" w:w="37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Meldeverfahren, Personen-Notsignal, Verbot bei gefährlichen Arbeiten</w:t>
            </w:r>
          </w:p>
        </w:tc>
      </w:tr>
      <w:tr>
        <w:tc>
          <w:tcPr>
            <w:tcW w:type="dxa" w:w="20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Psychische Belastung</w:t>
            </w:r>
          </w:p>
        </w:tc>
        <w:tc>
          <w:tcPr>
            <w:tcW w:type="dxa" w:w="33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Störungsdruck, Rufbereitschaft, ständige Erreichbarkeit</w:t>
            </w:r>
          </w:p>
        </w:tc>
        <w:tc>
          <w:tcPr>
            <w:tcW w:type="dxa" w:w="37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Realistische Planung, Vertretung, klare Erreichbarkeitsregeln</w:t>
            </w:r>
          </w:p>
        </w:tc>
      </w:tr>
      <w:tr>
        <w:tc>
          <w:tcPr>
            <w:tcW w:type="dxa" w:w="20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Außendienstfahrten</w:t>
            </w:r>
          </w:p>
        </w:tc>
        <w:tc>
          <w:tcPr>
            <w:tcW w:type="dxa" w:w="33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Zeitdruck, Wetter, Ladung</w:t>
            </w:r>
          </w:p>
        </w:tc>
        <w:tc>
          <w:tcPr>
            <w:tcW w:type="dxa" w:w="37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Fahrten planen, Ladung sichern, Pausen einhalten</w:t>
            </w:r>
          </w:p>
        </w:tc>
      </w:tr>
    </w:tbl>
    <w:p>
      <w:pPr>
        <w:spacing w:after="140"/>
      </w:pPr>
    </w:p>
    <w:tbl>
      <w:tblPr>
        <w:tblW w:type="dxa" w:w="9020"/>
        <w:tblBorders>
          <w:top w:val="none"/>
          <w:left w:val="single" w:color="003366" w:sz="18"/>
          <w:bottom w:val="none"/>
          <w:right w:val="none"/>
          <w:insideH w:val="none"/>
          <w:insideV w:val="none"/>
        </w:tblBorders>
        <w:tblLayout w:type="fixed"/>
      </w:tblPr>
      <w:tblGrid>
        <w:gridCol w:w="9020"/>
      </w:tblGrid>
      <w:tr>
        <w:tc>
          <w:tcPr>
            <w:tcW w:type="dxa" w:w="9020"/>
            <w:shd w:fill="D6E4F0" w:color="auto" w:val="clear"/>
            <w:tcMar>
              <w:top w:type="dxa" w:w="120"/>
              <w:left w:type="dxa" w:w="160"/>
              <w:bottom w:type="dxa" w:w="120"/>
              <w:right w:type="dxa" w:w="1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Merke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Psychische Belastung ist ausdrücklich Teil der Gefährdungsbeurteilung. Sie wird häufig übersehen, weil sie sich nicht wie eine Stolperkante besichtigen lässt.</w:t>
            </w:r>
          </w:p>
        </w:tc>
      </w:tr>
    </w:tbl>
    <w:p>
      <w:pPr>
        <w:spacing w:after="140"/>
      </w:pPr>
    </w:p>
    <w:p>
      <w:pPr>
        <w:pStyle w:val="Heading3"/>
        <w:spacing w:after="80" w:before="200"/>
      </w:pPr>
      <w:r>
        <w:rPr>
          <w:rFonts w:ascii="Calibri" w:cs="Calibri" w:eastAsia="Calibri" w:hAnsi="Calibri"/>
          <w:b/>
          <w:bCs/>
          <w:color w:val="003366"/>
          <w:sz w:val="23"/>
          <w:szCs w:val="23"/>
        </w:rPr>
        <w:t xml:space="preserve">5.1 Bildschirmarbeitsplatz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Bildschirm blendfrei aufstellen, möglichst im rechten Winkel zum Fenster; oberste Bildschirmzeile unterhalb der Augenhöhe.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Tisch- und Stuhlhöhe so einstellen, dass Unter- und Oberarme etwa einen rechten Winkel bilden; Füße stehen flach auf.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Ausreichend Beinfreiheit, ausreichend große Arbeitsfläche, ruhige Umgebung.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Regelmäßige Tätigkeitswechsel oder kurze Unterbrechungen statt eines Blocks am Stück.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Anspruch auf arbeitsmedizinische Vorsorge zum Sehvermögen; ist eine spezielle Sehhilfe für die Bildschirmarbeit erforderlich, trägt der Arbeitgeber die Kosten im gesetzlich vorgesehenen Umfang.</w:t>
      </w:r>
    </w:p>
    <w:tbl>
      <w:tblPr>
        <w:tblW w:type="dxa" w:w="9020"/>
        <w:tblBorders>
          <w:top w:val="none"/>
          <w:left w:val="single" w:color="F0A500" w:sz="18"/>
          <w:bottom w:val="none"/>
          <w:right w:val="none"/>
          <w:insideH w:val="none"/>
          <w:insideV w:val="none"/>
        </w:tblBorders>
        <w:tblLayout w:type="fixed"/>
      </w:tblPr>
      <w:tblGrid>
        <w:gridCol w:w="9020"/>
      </w:tblGrid>
      <w:tr>
        <w:tc>
          <w:tcPr>
            <w:tcW w:type="dxa" w:w="9020"/>
            <w:shd w:fill="FFF4DC" w:color="auto" w:val="clear"/>
            <w:tcMar>
              <w:top w:type="dxa" w:w="120"/>
              <w:left w:type="dxa" w:w="160"/>
              <w:bottom w:type="dxa" w:w="120"/>
              <w:right w:type="dxa" w:w="1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Dozenten-Hinweis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Homeoffice ändert die Anforderungen nicht. Für die Klasse ist das ein guter Diskussionseinstieg: Wer stellt die Ausstattung, wer prüft sie, was gilt bei mobiler Arbeit im Zug?</w:t>
            </w:r>
          </w:p>
        </w:tc>
      </w:tr>
    </w:tbl>
    <w:p>
      <w:pPr>
        <w:spacing w:after="140"/>
      </w:pP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6 Betriebliches Gesundheitsmanagement</w:t>
      </w:r>
    </w:p>
    <w:tbl>
      <w:tblPr>
        <w:tblW w:type="dxa" w:w="9020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2"/>
          <w:insideV w:val="single" w:color="D6E4F0" w:sz="2"/>
        </w:tblBorders>
        <w:tblLayout w:type="fixed"/>
      </w:tblPr>
      <w:tblGrid>
        <w:gridCol w:w="2400"/>
        <w:gridCol w:w="3200"/>
        <w:gridCol w:w="3420"/>
      </w:tblGrid>
      <w:tr>
        <w:trPr>
          <w:tblHeader/>
        </w:trPr>
        <w:tc>
          <w:tcPr>
            <w:tcW w:type="dxa" w:w="24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Ansatz</w:t>
            </w:r>
          </w:p>
        </w:tc>
        <w:tc>
          <w:tcPr>
            <w:tcW w:type="dxa" w:w="32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Inhalt</w:t>
            </w:r>
          </w:p>
        </w:tc>
        <w:tc>
          <w:tcPr>
            <w:tcW w:type="dxa" w:w="342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Beispiel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Verhältnisprävention</w:t>
            </w:r>
          </w:p>
        </w:tc>
        <w:tc>
          <w:tcPr>
            <w:tcW w:type="dxa" w:w="32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Arbeitsplatz und Abläufe verändern</w:t>
            </w:r>
          </w:p>
        </w:tc>
        <w:tc>
          <w:tcPr>
            <w:tcW w:type="dxa" w:w="34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Höhenverstellbare Tische, realistische Einsatzplanung, Vertretungsregeln</w:t>
            </w:r>
          </w:p>
        </w:tc>
      </w:tr>
      <w:tr>
        <w:tc>
          <w:tcPr>
            <w:tcW w:type="dxa" w:w="24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Verhaltensprävention</w:t>
            </w:r>
          </w:p>
        </w:tc>
        <w:tc>
          <w:tcPr>
            <w:tcW w:type="dxa" w:w="32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Angebote an die Beschäftigten</w:t>
            </w:r>
          </w:p>
        </w:tc>
        <w:tc>
          <w:tcPr>
            <w:tcW w:type="dxa" w:w="34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Rückenkurs, Ernährungsberatung, Umgang mit Belastung</w:t>
            </w:r>
          </w:p>
        </w:tc>
      </w:tr>
    </w:tbl>
    <w:p>
      <w:pPr>
        <w:spacing w:after="140"/>
      </w:pP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Wirksam wird beides erst zusammen. Ein Kursangebot ersetzt keinen ergonomischen Arbeitsplatz, und die beste Ausstattung nützt wenig, wenn die Einsatzplanung dauerhaft überfordert.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7 Umweltschutz und Nachhaltigkeit</w:t>
      </w:r>
    </w:p>
    <w:tbl>
      <w:tblPr>
        <w:tblW w:type="dxa" w:w="9020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2"/>
          <w:insideV w:val="single" w:color="D6E4F0" w:sz="2"/>
        </w:tblBorders>
        <w:tblLayout w:type="fixed"/>
      </w:tblPr>
      <w:tblGrid>
        <w:gridCol w:w="2600"/>
        <w:gridCol w:w="6420"/>
      </w:tblGrid>
      <w:tr>
        <w:trPr>
          <w:tblHeader/>
        </w:trPr>
        <w:tc>
          <w:tcPr>
            <w:tcW w:type="dxa" w:w="26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Handlungsfeld</w:t>
            </w:r>
          </w:p>
        </w:tc>
        <w:tc>
          <w:tcPr>
            <w:tcW w:type="dxa" w:w="642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Maßnahmen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Energie und Infrastruktur</w:t>
            </w:r>
          </w:p>
        </w:tc>
        <w:tc>
          <w:tcPr>
            <w:tcW w:type="dxa" w:w="64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Serverauslastung erhöhen, Virtualisierung, Abschaltregeln für Testsysteme, effiziente Kühlung, Abwärmenutzung</w:t>
            </w:r>
          </w:p>
        </w:tc>
      </w:tr>
      <w:tr>
        <w:tc>
          <w:tcPr>
            <w:tcW w:type="dxa" w:w="26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Beschaffung</w:t>
            </w:r>
          </w:p>
        </w:tc>
        <w:tc>
          <w:tcPr>
            <w:tcW w:type="dxa" w:w="64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Langlebige und reparierbare Geräte, Refurbished-Optionen, Prüfung der Lieferkette, Energiekennwerte als Kriterium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Arbeitsweise</w:t>
            </w:r>
          </w:p>
        </w:tc>
        <w:tc>
          <w:tcPr>
            <w:tcW w:type="dxa" w:w="64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Remote-Support statt Anfahrt, Fahrten bündeln, papierarme Prozesse, digitale Dokumentation</w:t>
            </w:r>
          </w:p>
        </w:tc>
      </w:tr>
      <w:tr>
        <w:tc>
          <w:tcPr>
            <w:tcW w:type="dxa" w:w="26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Entsorgung</w:t>
            </w:r>
          </w:p>
        </w:tc>
        <w:tc>
          <w:tcPr>
            <w:tcW w:type="dxa" w:w="64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Zertifizierte Datenlöschung, Rücknahme und Recycling, getrennte Erfassung von Elektroaltgeräten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Remarketing</w:t>
            </w:r>
          </w:p>
        </w:tc>
        <w:tc>
          <w:tcPr>
            <w:tcW w:type="dxa" w:w="64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Altsysteme aufbereiten und weiterverkaufen statt verschrotten</w:t>
            </w:r>
          </w:p>
        </w:tc>
      </w:tr>
      <w:tr>
        <w:tc>
          <w:tcPr>
            <w:tcW w:type="dxa" w:w="26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Nachweise</w:t>
            </w:r>
          </w:p>
        </w:tc>
        <w:tc>
          <w:tcPr>
            <w:tcW w:type="dxa" w:w="64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Nachhaltigkeitsbericht, beauftragte Stelle, Kennzahlen je Handlungsfeld</w:t>
            </w:r>
          </w:p>
        </w:tc>
      </w:tr>
    </w:tbl>
    <w:p>
      <w:pPr>
        <w:spacing w:after="140"/>
      </w:pPr>
    </w:p>
    <w:p>
      <w:pPr>
        <w:pStyle w:val="Heading3"/>
        <w:spacing w:after="80" w:before="200"/>
      </w:pPr>
      <w:r>
        <w:rPr>
          <w:rFonts w:ascii="Calibri" w:cs="Calibri" w:eastAsia="Calibri" w:hAnsi="Calibri"/>
          <w:b/>
          <w:bCs/>
          <w:color w:val="003366"/>
          <w:sz w:val="23"/>
          <w:szCs w:val="23"/>
        </w:rPr>
        <w:t xml:space="preserve">7.1 Maßnahmen priorisieren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Risikopotenzial: Was passiert, wenn nichts geschieht?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Gesetzliche Forderung: Was ist ohnehin verpflichtend? Dieser Punkt steht nicht zur Abwägung.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Wirtschaftliche Notwendigkeit: Wie verhalten sich Wirkung und Aufwand zueinander?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Zu jeder Maßnahme gehört eine Kennzahl. Ohne Messgröße bleibt die Wirkung eine Behauptung – das gilt für Nachhaltigkeit genauso wie für Qualität.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8 Istaufnahmetechniken</w:t>
      </w:r>
    </w:p>
    <w:tbl>
      <w:tblPr>
        <w:tblW w:type="dxa" w:w="9020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2"/>
          <w:insideV w:val="single" w:color="D6E4F0" w:sz="2"/>
        </w:tblBorders>
        <w:tblLayout w:type="fixed"/>
      </w:tblPr>
      <w:tblGrid>
        <w:gridCol w:w="1300"/>
        <w:gridCol w:w="2500"/>
        <w:gridCol w:w="2800"/>
        <w:gridCol w:w="2420"/>
      </w:tblGrid>
      <w:tr>
        <w:trPr>
          <w:tblHeader/>
        </w:trPr>
        <w:tc>
          <w:tcPr>
            <w:tcW w:type="dxa" w:w="13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Art</w:t>
            </w:r>
          </w:p>
        </w:tc>
        <w:tc>
          <w:tcPr>
            <w:tcW w:type="dxa" w:w="25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Technik</w:t>
            </w:r>
          </w:p>
        </w:tc>
        <w:tc>
          <w:tcPr>
            <w:tcW w:type="dxa" w:w="28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Geeignet für</w:t>
            </w:r>
          </w:p>
        </w:tc>
        <w:tc>
          <w:tcPr>
            <w:tcW w:type="dxa" w:w="242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Grenzen</w:t>
            </w:r>
          </w:p>
        </w:tc>
      </w:tr>
      <w:tr>
        <w:tc>
          <w:tcPr>
            <w:tcW w:type="dxa" w:w="13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Primär</w:t>
            </w:r>
          </w:p>
        </w:tc>
        <w:tc>
          <w:tcPr>
            <w:tcW w:type="dxa" w:w="25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Befragung (Interview, Fragebogen)</w:t>
            </w:r>
          </w:p>
        </w:tc>
        <w:tc>
          <w:tcPr>
            <w:tcW w:type="dxa" w:w="28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Meinungen, Bedarfe, Zufriedenheit</w:t>
            </w:r>
          </w:p>
        </w:tc>
        <w:tc>
          <w:tcPr>
            <w:tcW w:type="dxa" w:w="24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Antworten sind subjektiv</w:t>
            </w:r>
          </w:p>
        </w:tc>
      </w:tr>
      <w:tr>
        <w:tc>
          <w:tcPr>
            <w:tcW w:type="dxa" w:w="13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Primär</w:t>
            </w:r>
          </w:p>
        </w:tc>
        <w:tc>
          <w:tcPr>
            <w:tcW w:type="dxa" w:w="25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Beobachtung</w:t>
            </w:r>
          </w:p>
        </w:tc>
        <w:tc>
          <w:tcPr>
            <w:tcW w:type="dxa" w:w="28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Tatsächliche Abläufe am Arbeitsplatz</w:t>
            </w:r>
          </w:p>
        </w:tc>
        <w:tc>
          <w:tcPr>
            <w:tcW w:type="dxa" w:w="24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Beobachtung verändert das Verhalten</w:t>
            </w:r>
          </w:p>
        </w:tc>
      </w:tr>
      <w:tr>
        <w:tc>
          <w:tcPr>
            <w:tcW w:type="dxa" w:w="13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Primär</w:t>
            </w:r>
          </w:p>
        </w:tc>
        <w:tc>
          <w:tcPr>
            <w:tcW w:type="dxa" w:w="25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Selbstaufschreibung</w:t>
            </w:r>
          </w:p>
        </w:tc>
        <w:tc>
          <w:tcPr>
            <w:tcW w:type="dxa" w:w="28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Zeitaufwände über einen Zeitraum</w:t>
            </w:r>
          </w:p>
        </w:tc>
        <w:tc>
          <w:tcPr>
            <w:tcW w:type="dxa" w:w="24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Aufwand für die Beteiligten, Genauigkeit schwankt</w:t>
            </w:r>
          </w:p>
        </w:tc>
      </w:tr>
      <w:tr>
        <w:tc>
          <w:tcPr>
            <w:tcW w:type="dxa" w:w="13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Primär</w:t>
            </w:r>
          </w:p>
        </w:tc>
        <w:tc>
          <w:tcPr>
            <w:tcW w:type="dxa" w:w="25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Multimomentaufnahme</w:t>
            </w:r>
          </w:p>
        </w:tc>
        <w:tc>
          <w:tcPr>
            <w:tcW w:type="dxa" w:w="28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Verteilung von Tätigkeiten über Stichproben</w:t>
            </w:r>
          </w:p>
        </w:tc>
        <w:tc>
          <w:tcPr>
            <w:tcW w:type="dxa" w:w="24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Nur statistisch aussagekräftig</w:t>
            </w:r>
          </w:p>
        </w:tc>
      </w:tr>
      <w:tr>
        <w:tc>
          <w:tcPr>
            <w:tcW w:type="dxa" w:w="13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Sekundär</w:t>
            </w:r>
          </w:p>
        </w:tc>
        <w:tc>
          <w:tcPr>
            <w:tcW w:type="dxa" w:w="25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Auswertung vorhandener Daten</w:t>
            </w:r>
          </w:p>
        </w:tc>
        <w:tc>
          <w:tcPr>
            <w:tcW w:type="dxa" w:w="28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Ticketstatistik, Zeiterfassung, Verbrauchsdaten</w:t>
            </w:r>
          </w:p>
        </w:tc>
        <w:tc>
          <w:tcPr>
            <w:tcW w:type="dxa" w:w="24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Nur so gut wie die Datenpflege</w:t>
            </w:r>
          </w:p>
        </w:tc>
      </w:tr>
    </w:tbl>
    <w:p>
      <w:pPr>
        <w:spacing w:after="140"/>
      </w:pPr>
    </w:p>
    <w:tbl>
      <w:tblPr>
        <w:tblW w:type="dxa" w:w="9020"/>
        <w:tblBorders>
          <w:top w:val="none"/>
          <w:left w:val="single" w:color="003366" w:sz="18"/>
          <w:bottom w:val="none"/>
          <w:right w:val="none"/>
          <w:insideH w:val="none"/>
          <w:insideV w:val="none"/>
        </w:tblBorders>
        <w:tblLayout w:type="fixed"/>
      </w:tblPr>
      <w:tblGrid>
        <w:gridCol w:w="9020"/>
      </w:tblGrid>
      <w:tr>
        <w:tc>
          <w:tcPr>
            <w:tcW w:type="dxa" w:w="9020"/>
            <w:shd w:fill="D6E4F0" w:color="auto" w:val="clear"/>
            <w:tcMar>
              <w:top w:type="dxa" w:w="120"/>
              <w:left w:type="dxa" w:w="160"/>
              <w:bottom w:type="dxa" w:w="120"/>
              <w:right w:type="dxa" w:w="1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Merke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Primärerhebung erhebt neu, Sekundärerhebung wertet Vorhandenes aus. Zuerst in die vorhandenen Daten schauen – das ist schneller, billiger und stört den Betrieb nicht.</w:t>
            </w:r>
          </w:p>
        </w:tc>
      </w:tr>
    </w:tbl>
    <w:p>
      <w:pPr>
        <w:spacing w:after="140"/>
      </w:pP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9 Kurzcheck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Ich kann sechs Regelwerke des Arbeitsschutzes zuordnen.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Ich kann die Beteiligten und ihre Befugnisse unterscheiden.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Ich kann die Schritte der Gefährdungsbeurteilung nennen.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Ich kann die Rangfolge der Schutzmaßnahmen erklären.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Ich kann Höchstarbeitszeit, Pausen und Ruhezeit anwenden.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Ich kann sechs Gefährdungen am IT-Arbeitsplatz mit Maßnahmen benennen.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Ich kann einen Bildschirmarbeitsplatz beurteilen.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Ich kann Nachhaltigkeitsmaßnahmen nach drei Kriterien priorisieren.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Ich kann Primär- und Sekundärerhebung unterscheiden und passend auswählen.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10 Begriffe dieser Lerneinheit</w:t>
      </w:r>
    </w:p>
    <w:tbl>
      <w:tblPr>
        <w:tblW w:type="dxa" w:w="9020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2"/>
          <w:insideV w:val="single" w:color="D6E4F0" w:sz="2"/>
        </w:tblBorders>
        <w:tblLayout w:type="fixed"/>
      </w:tblPr>
      <w:tblGrid>
        <w:gridCol w:w="2400"/>
        <w:gridCol w:w="6620"/>
      </w:tblGrid>
      <w:tr>
        <w:trPr>
          <w:tblHeader/>
        </w:trPr>
        <w:tc>
          <w:tcPr>
            <w:tcW w:type="dxa" w:w="24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Begriff</w:t>
            </w:r>
          </w:p>
        </w:tc>
        <w:tc>
          <w:tcPr>
            <w:tcW w:type="dxa" w:w="662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Erklärung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Arbeitsschutzgesetz</w:t>
            </w:r>
          </w:p>
        </w:tc>
        <w:tc>
          <w:tcPr>
            <w:tcW w:type="dxa" w:w="66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Grundgesetz des Arbeitsschutzes mit den Pflichten des Arbeitgebers</w:t>
            </w:r>
          </w:p>
        </w:tc>
      </w:tr>
      <w:tr>
        <w:tc>
          <w:tcPr>
            <w:tcW w:type="dxa" w:w="24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Berufsgenossenschaft</w:t>
            </w:r>
          </w:p>
        </w:tc>
        <w:tc>
          <w:tcPr>
            <w:tcW w:type="dxa" w:w="66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Träger der gesetzlichen Unfallversicherung, Beiträge trägt der Arbeitgeber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Betriebsarzt</w:t>
            </w:r>
          </w:p>
        </w:tc>
        <w:tc>
          <w:tcPr>
            <w:tcW w:type="dxa" w:w="66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Arbeitsmedizinische Beratung und Vorsorge, beratende Funktion</w:t>
            </w:r>
          </w:p>
        </w:tc>
      </w:tr>
      <w:tr>
        <w:tc>
          <w:tcPr>
            <w:tcW w:type="dxa" w:w="24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Fachkraft für Arbeitssicherheit</w:t>
            </w:r>
          </w:p>
        </w:tc>
        <w:tc>
          <w:tcPr>
            <w:tcW w:type="dxa" w:w="66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Beratende Stabsstelle ohne Weisungsbefugnis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Gefährdungsbeurteilung</w:t>
            </w:r>
          </w:p>
        </w:tc>
        <w:tc>
          <w:tcPr>
            <w:tcW w:type="dxa" w:w="66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Systematisches Verfahren zur Ermittlung und Bewertung von Gefährdungen</w:t>
            </w:r>
          </w:p>
        </w:tc>
      </w:tr>
      <w:tr>
        <w:tc>
          <w:tcPr>
            <w:tcW w:type="dxa" w:w="24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Multimomentaufnahme</w:t>
            </w:r>
          </w:p>
        </w:tc>
        <w:tc>
          <w:tcPr>
            <w:tcW w:type="dxa" w:w="66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Stichprobenverfahren zur Verteilung von Tätigkeiten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Primärerhebung</w:t>
            </w:r>
          </w:p>
        </w:tc>
        <w:tc>
          <w:tcPr>
            <w:tcW w:type="dxa" w:w="66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Neue Erhebung von Daten durch Befragung, Beobachtung oder Selbstaufschreibung</w:t>
            </w:r>
          </w:p>
        </w:tc>
      </w:tr>
      <w:tr>
        <w:tc>
          <w:tcPr>
            <w:tcW w:type="dxa" w:w="24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Remarketing</w:t>
            </w:r>
          </w:p>
        </w:tc>
        <w:tc>
          <w:tcPr>
            <w:tcW w:type="dxa" w:w="66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Aufbereitung und Weiterverkauf gebrauchter IT-Systeme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Ruhezeit</w:t>
            </w:r>
          </w:p>
        </w:tc>
        <w:tc>
          <w:tcPr>
            <w:tcW w:type="dxa" w:w="66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Mindestens 11 Stunden ununterbrochene Freizeit zwischen zwei Arbeitstagen</w:t>
            </w:r>
          </w:p>
        </w:tc>
      </w:tr>
      <w:tr>
        <w:tc>
          <w:tcPr>
            <w:tcW w:type="dxa" w:w="24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Sekundärerhebung</w:t>
            </w:r>
          </w:p>
        </w:tc>
        <w:tc>
          <w:tcPr>
            <w:tcW w:type="dxa" w:w="66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Auswertung bereits vorhandener Daten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Sicherheitsbeauftragte</w:t>
            </w:r>
          </w:p>
        </w:tc>
        <w:tc>
          <w:tcPr>
            <w:tcW w:type="dxa" w:w="66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Beschäftigte, die im Alltag auf Sicherheit achten</w:t>
            </w:r>
          </w:p>
        </w:tc>
      </w:tr>
      <w:tr>
        <w:tc>
          <w:tcPr>
            <w:tcW w:type="dxa" w:w="24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Unterweisung</w:t>
            </w:r>
          </w:p>
        </w:tc>
        <w:tc>
          <w:tcPr>
            <w:tcW w:type="dxa" w:w="66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Verpflichtende Belehrung der Beschäftigten vor Tätigkeitsaufnahme und danach regelmäßig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Verhaltensprävention</w:t>
            </w:r>
          </w:p>
        </w:tc>
        <w:tc>
          <w:tcPr>
            <w:tcW w:type="dxa" w:w="66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Maßnahmen, die am Verhalten der Beschäftigten ansetzen</w:t>
            </w:r>
          </w:p>
        </w:tc>
      </w:tr>
      <w:tr>
        <w:tc>
          <w:tcPr>
            <w:tcW w:type="dxa" w:w="24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Verhältnisprävention</w:t>
            </w:r>
          </w:p>
        </w:tc>
        <w:tc>
          <w:tcPr>
            <w:tcW w:type="dxa" w:w="66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Maßnahmen, die am Arbeitsplatz und an den Abläufen ansetzen</w:t>
            </w:r>
          </w:p>
        </w:tc>
      </w:tr>
    </w:tbl>
    <w:p>
      <w:pPr>
        <w:spacing w:after="140"/>
      </w:pP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66666"/>
        <w:sz w:val="18"/>
        <w:szCs w:val="18"/>
      </w:rPr>
      <w:t xml:space="preserve">bfw Lübeck · Handout LE 05 · Seite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66666"/>
        <w:sz w:val="18"/>
        <w:szCs w:val="18"/>
      </w:rPr>
      <w:t xml:space="preserve"> von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6" w:space="4"/>
      </w:pBdr>
      <w:jc w:val="right"/>
    </w:pPr>
    <w:r>
      <w:rPr>
        <w:rFonts w:ascii="Calibri" w:cs="Calibri" w:eastAsia="Calibri" w:hAnsi="Calibri"/>
        <w:color w:val="0066AA"/>
        <w:sz w:val="18"/>
        <w:szCs w:val="18"/>
      </w:rPr>
      <w:t xml:space="preserve">Modul A · LE 05 – Arbeits-, Gesundheits- und Umweltschutz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  <w:rPr>
        <w:color w:val="0066AA"/>
      </w:rPr>
    </w:lvl>
    <w:lvl w:ilvl="1" w15:tentative="1">
      <w:start w:val="1"/>
      <w:numFmt w:val="bullet"/>
      <w:lvlText w:val="◦"/>
      <w:lvlJc w:val="left"/>
      <w:pPr>
        <w:ind w:left="7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03366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 A · LE 05 – Handout</dc:title>
  <dc:creator>bfw Lübeck</dc:creator>
  <cp:lastModifiedBy>Un-named</cp:lastModifiedBy>
  <cp:revision>1</cp:revision>
  <dcterms:created xsi:type="dcterms:W3CDTF">2026-08-04T16:23:07.357Z</dcterms:created>
  <dcterms:modified xsi:type="dcterms:W3CDTF">2026-08-04T16:23:07.374Z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