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Bdr>
          <w:bottom w:val="single" w:color="F0A500" w:sz="12" w:space="4"/>
        </w:pBdr>
        <w:spacing w:after="200" w:before="120"/>
      </w:pPr>
      <w:r>
        <w:rPr>
          <w:rFonts w:ascii="Calibri" w:cs="Calibri" w:eastAsia="Calibri" w:hAnsi="Calibri"/>
          <w:b/>
          <w:bCs/>
          <w:color w:val="003366"/>
          <w:sz w:val="34"/>
          <w:szCs w:val="34"/>
        </w:rPr>
        <w:t xml:space="preserve">LE 04 – Informationssicherheit und Datenschutz</w:t>
      </w:r>
    </w:p>
    <w:p>
      <w:pPr>
        <w:spacing w:after="120"/>
      </w:pPr>
      <w:r>
        <w:rPr>
          <w:rFonts w:ascii="Calibri" w:cs="Calibri" w:eastAsia="Calibri" w:hAnsi="Calibri"/>
          <w:b/>
          <w:bCs/>
          <w:i w:val="false"/>
          <w:iCs w:val="false"/>
          <w:color w:val="0066AA"/>
          <w:sz w:val="22"/>
          <w:szCs w:val="22"/>
        </w:rPr>
        <w:t xml:space="preserve">Modul A – Der Betrieb und sein Umfeld · Lernfeld 1 · 8 Unterrichtseinheiten</w:t>
      </w:r>
    </w:p>
    <w:p>
      <w:pPr>
        <w:spacing w:after="120"/>
      </w:pPr>
      <w:r>
        <w:rPr>
          <w:rFonts w:ascii="Calibri" w:cs="Calibri" w:eastAsia="Calibri" w:hAnsi="Calibri"/>
          <w:b w:val="false"/>
          <w:bCs w:val="false"/>
          <w:i/>
          <w:iCs/>
          <w:color w:val="1A1A1A"/>
          <w:sz w:val="22"/>
          <w:szCs w:val="22"/>
        </w:rPr>
        <w:t xml:space="preserve">Handout zur Präsentation. Aufgabenblatt und Musterlösungen liegen separat bei.</w:t>
      </w:r>
    </w:p>
    <w:p>
      <w:pPr>
        <w:spacing w:after="120"/>
      </w:pPr>
      <w:r>
        <w:rPr>
          <w:rFonts w:ascii="Calibri" w:cs="Calibri" w:eastAsia="Calibri" w:hAnsi="Calibri"/>
          <w:b w:val="false"/>
          <w:bCs w:val="false"/>
          <w:i/>
          <w:iCs/>
          <w:color w:val="1A1A1A"/>
          <w:sz w:val="19"/>
          <w:szCs w:val="19"/>
        </w:rPr>
        <w:t xml:space="preserve">KONTURA IT-Solutions ist ein frei erfundenes Modellunternehmen. Rechtsangaben nach DSGVO und BDSG, Stand August 2026. Statistische Angaben zur Bedrohungslage werden jährlich neu erhoben und sind hier bewusst ohne feste Prozentwerte dargestellt.</w:t>
      </w:r>
    </w:p>
    <w:p>
      <w:pPr>
        <w:pStyle w:val="Heading2"/>
        <w:spacing w:after="120" w:before="280"/>
      </w:pPr>
      <w:r>
        <w:rPr>
          <w:rFonts w:ascii="Calibri" w:cs="Calibri" w:eastAsia="Calibri" w:hAnsi="Calibri"/>
          <w:b/>
          <w:bCs/>
          <w:color w:val="0066AA"/>
          <w:sz w:val="26"/>
          <w:szCs w:val="26"/>
        </w:rPr>
        <w:t xml:space="preserve">Lernziele</w:t>
      </w:r>
    </w:p>
    <w:p>
      <w:pPr>
        <w:pStyle w:val="ListParagraph"/>
        <w:numPr>
          <w:ilvl w:val="0"/>
          <w:numId w:val="2"/>
        </w:numPr>
        <w:spacing w:after="60"/>
      </w:pPr>
      <w:r>
        <w:rPr>
          <w:rFonts w:ascii="Calibri" w:cs="Calibri" w:eastAsia="Calibri" w:hAnsi="Calibri"/>
          <w:sz w:val="22"/>
          <w:szCs w:val="22"/>
        </w:rPr>
        <w:t xml:space="preserve">Die Schutzziele der Informationssicherheit erklären und an Beispielen anwenden.</w:t>
      </w:r>
    </w:p>
    <w:p>
      <w:pPr>
        <w:pStyle w:val="ListParagraph"/>
        <w:numPr>
          <w:ilvl w:val="0"/>
          <w:numId w:val="2"/>
        </w:numPr>
        <w:spacing w:after="60"/>
      </w:pPr>
      <w:r>
        <w:rPr>
          <w:rFonts w:ascii="Calibri" w:cs="Calibri" w:eastAsia="Calibri" w:hAnsi="Calibri"/>
          <w:sz w:val="22"/>
          <w:szCs w:val="22"/>
        </w:rPr>
        <w:t xml:space="preserve">Typische Angriffsarten unterscheiden und ihre Wirkung beschreiben.</w:t>
      </w:r>
    </w:p>
    <w:p>
      <w:pPr>
        <w:pStyle w:val="ListParagraph"/>
        <w:numPr>
          <w:ilvl w:val="0"/>
          <w:numId w:val="2"/>
        </w:numPr>
        <w:spacing w:after="60"/>
      </w:pPr>
      <w:r>
        <w:rPr>
          <w:rFonts w:ascii="Calibri" w:cs="Calibri" w:eastAsia="Calibri" w:hAnsi="Calibri"/>
          <w:sz w:val="22"/>
          <w:szCs w:val="22"/>
        </w:rPr>
        <w:t xml:space="preserve">Maßnahmen den Kategorien technisch, organisatorisch und softwareseitig zuordnen.</w:t>
      </w:r>
    </w:p>
    <w:p>
      <w:pPr>
        <w:pStyle w:val="ListParagraph"/>
        <w:numPr>
          <w:ilvl w:val="0"/>
          <w:numId w:val="2"/>
        </w:numPr>
        <w:spacing w:after="60"/>
      </w:pPr>
      <w:r>
        <w:rPr>
          <w:rFonts w:ascii="Calibri" w:cs="Calibri" w:eastAsia="Calibri" w:hAnsi="Calibri"/>
          <w:sz w:val="22"/>
          <w:szCs w:val="22"/>
        </w:rPr>
        <w:t xml:space="preserve">Datenschutz und Datensicherheit sauber abgrenzen.</w:t>
      </w:r>
    </w:p>
    <w:p>
      <w:pPr>
        <w:pStyle w:val="ListParagraph"/>
        <w:numPr>
          <w:ilvl w:val="0"/>
          <w:numId w:val="2"/>
        </w:numPr>
        <w:spacing w:after="60"/>
      </w:pPr>
      <w:r>
        <w:rPr>
          <w:rFonts w:ascii="Calibri" w:cs="Calibri" w:eastAsia="Calibri" w:hAnsi="Calibri"/>
          <w:sz w:val="22"/>
          <w:szCs w:val="22"/>
        </w:rPr>
        <w:t xml:space="preserve">Grundsätze und Betroffenenrechte der DSGVO benennen.</w:t>
      </w:r>
    </w:p>
    <w:p>
      <w:pPr>
        <w:pStyle w:val="ListParagraph"/>
        <w:numPr>
          <w:ilvl w:val="0"/>
          <w:numId w:val="2"/>
        </w:numPr>
        <w:spacing w:after="60"/>
      </w:pPr>
      <w:r>
        <w:rPr>
          <w:rFonts w:ascii="Calibri" w:cs="Calibri" w:eastAsia="Calibri" w:hAnsi="Calibri"/>
          <w:sz w:val="22"/>
          <w:szCs w:val="22"/>
        </w:rPr>
        <w:t xml:space="preserve">Pflichten des Unternehmens bei einer Datenpanne erklären.</w:t>
      </w:r>
    </w:p>
    <w:p>
      <w:pPr>
        <w:pStyle w:val="ListParagraph"/>
        <w:numPr>
          <w:ilvl w:val="0"/>
          <w:numId w:val="2"/>
        </w:numPr>
        <w:spacing w:after="60"/>
      </w:pPr>
      <w:r>
        <w:rPr>
          <w:rFonts w:ascii="Calibri" w:cs="Calibri" w:eastAsia="Calibri" w:hAnsi="Calibri"/>
          <w:sz w:val="22"/>
          <w:szCs w:val="22"/>
        </w:rPr>
        <w:t xml:space="preserve">Das eigene Verhalten als Beschäftigter im Umgang mit Daten begründen.</w:t>
      </w:r>
    </w:p>
    <w:p>
      <w:pPr>
        <w:pStyle w:val="Heading2"/>
        <w:spacing w:after="120" w:before="280"/>
      </w:pPr>
      <w:r>
        <w:rPr>
          <w:rFonts w:ascii="Calibri" w:cs="Calibri" w:eastAsia="Calibri" w:hAnsi="Calibri"/>
          <w:b/>
          <w:bCs/>
          <w:color w:val="0066AA"/>
          <w:sz w:val="26"/>
          <w:szCs w:val="26"/>
        </w:rPr>
        <w:t xml:space="preserve">1 Die Schutzziele</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000"/>
        <w:gridCol w:w="3400"/>
        <w:gridCol w:w="3620"/>
      </w:tblGrid>
      <w:tr>
        <w:trPr>
          <w:tblHeader/>
        </w:trPr>
        <w:tc>
          <w:tcPr>
            <w:tcW w:type="dxa" w:w="20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Schutzziel</w:t>
            </w:r>
          </w:p>
        </w:tc>
        <w:tc>
          <w:tcPr>
            <w:tcW w:type="dxa" w:w="34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Bedeutung</w:t>
            </w:r>
          </w:p>
        </w:tc>
        <w:tc>
          <w:tcPr>
            <w:tcW w:type="dxa" w:w="36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Verstoß im Systemhaus</w:t>
            </w:r>
          </w:p>
        </w:tc>
      </w:tr>
      <w:tr>
        <w:tc>
          <w:tcPr>
            <w:tcW w:type="dxa" w:w="2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Vertraulichkeit</w:t>
            </w:r>
          </w:p>
        </w:tc>
        <w:tc>
          <w:tcPr>
            <w:tcW w:type="dxa" w:w="3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Nur Berechtigte erhalten Zugriff</w:t>
            </w:r>
          </w:p>
        </w:tc>
        <w:tc>
          <w:tcPr>
            <w:tcW w:type="dxa" w:w="3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Kundenliste liegt auf einer offenen Freigabe</w:t>
            </w:r>
          </w:p>
        </w:tc>
      </w:tr>
      <w:tr>
        <w:tc>
          <w:tcPr>
            <w:tcW w:type="dxa" w:w="20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Integrität</w:t>
            </w:r>
          </w:p>
        </w:tc>
        <w:tc>
          <w:tcPr>
            <w:tcW w:type="dxa" w:w="3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Daten sind unverändert und vollständig</w:t>
            </w:r>
          </w:p>
        </w:tc>
        <w:tc>
          <w:tcPr>
            <w:tcW w:type="dxa" w:w="3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Rechnungsbetrag wird nachträglich manipuliert</w:t>
            </w:r>
          </w:p>
        </w:tc>
      </w:tr>
      <w:tr>
        <w:tc>
          <w:tcPr>
            <w:tcW w:type="dxa" w:w="2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Verfügbarkeit</w:t>
            </w:r>
          </w:p>
        </w:tc>
        <w:tc>
          <w:tcPr>
            <w:tcW w:type="dxa" w:w="3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Daten und Systeme stehen zur Verfügung, wenn sie gebraucht werden</w:t>
            </w:r>
          </w:p>
        </w:tc>
        <w:tc>
          <w:tcPr>
            <w:tcW w:type="dxa" w:w="3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Server nach Ransomware-Angriff verschlüsselt</w:t>
            </w:r>
          </w:p>
        </w:tc>
      </w:tr>
      <w:tr>
        <w:tc>
          <w:tcPr>
            <w:tcW w:type="dxa" w:w="20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Authentizität</w:t>
            </w:r>
          </w:p>
        </w:tc>
        <w:tc>
          <w:tcPr>
            <w:tcW w:type="dxa" w:w="3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Der Absender oder Nutzer ist der, der er vorgibt zu sein</w:t>
            </w:r>
          </w:p>
        </w:tc>
        <w:tc>
          <w:tcPr>
            <w:tcW w:type="dxa" w:w="3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Gefälschte Mail im Namen der Geschäftsführung</w:t>
            </w:r>
          </w:p>
        </w:tc>
      </w:tr>
      <w:tr>
        <w:tc>
          <w:tcPr>
            <w:tcW w:type="dxa" w:w="2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Nichtabstreitbarkeit</w:t>
            </w:r>
          </w:p>
        </w:tc>
        <w:tc>
          <w:tcPr>
            <w:tcW w:type="dxa" w:w="3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Handlungen sind einer Person nachweisbar zuzuordnen</w:t>
            </w:r>
          </w:p>
        </w:tc>
        <w:tc>
          <w:tcPr>
            <w:tcW w:type="dxa" w:w="3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Änderung an der Firewall ohne Protokolleintrag</w:t>
            </w:r>
          </w:p>
        </w:tc>
      </w:tr>
    </w:tbl>
    <w:p>
      <w:pPr>
        <w:spacing w:after="140"/>
      </w:pPr>
    </w:p>
    <w:tbl>
      <w:tblPr>
        <w:tblW w:type="dxa" w:w="9020"/>
        <w:tblBorders>
          <w:top w:val="none"/>
          <w:left w:val="single" w:color="003366" w:sz="18"/>
          <w:bottom w:val="none"/>
          <w:right w:val="none"/>
          <w:insideH w:val="none"/>
          <w:insideV w:val="none"/>
        </w:tblBorders>
        <w:tblLayout w:type="fixed"/>
      </w:tblPr>
      <w:tblGrid>
        <w:gridCol w:w="9020"/>
      </w:tblGrid>
      <w:tr>
        <w:tc>
          <w:tcPr>
            <w:tcW w:type="dxa" w:w="9020"/>
            <w:shd w:fill="D6E4F0"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Merke</w:t>
            </w:r>
          </w:p>
          <w:p>
            <w:pPr>
              <w:spacing w:after="40"/>
            </w:pPr>
            <w:r>
              <w:rPr>
                <w:rFonts w:ascii="Calibri" w:cs="Calibri" w:eastAsia="Calibri" w:hAnsi="Calibri"/>
                <w:sz w:val="21"/>
                <w:szCs w:val="21"/>
              </w:rPr>
              <w:t xml:space="preserve">Jede Sicherheitsmaßnahme lässt sich mindestens einem Schutzziel zuordnen. Diese Zuordnung ist die häufigste Prüfungsfrage zum Thema: Verschlüsselung schützt die Vertraulichkeit, Prüfsummen die Integrität, das Backup die Verfügbarkeit.</w:t>
            </w:r>
          </w:p>
        </w:tc>
      </w:tr>
    </w:tbl>
    <w:p>
      <w:pPr>
        <w:spacing w:after="140"/>
      </w:pPr>
    </w:p>
    <w:p>
      <w:pPr>
        <w:pStyle w:val="Heading2"/>
        <w:spacing w:after="120" w:before="280"/>
      </w:pPr>
      <w:r>
        <w:rPr>
          <w:rFonts w:ascii="Calibri" w:cs="Calibri" w:eastAsia="Calibri" w:hAnsi="Calibri"/>
          <w:b/>
          <w:bCs/>
          <w:color w:val="0066AA"/>
          <w:sz w:val="26"/>
          <w:szCs w:val="26"/>
        </w:rPr>
        <w:t xml:space="preserve">2 Bedrohungen</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200"/>
        <w:gridCol w:w="3400"/>
        <w:gridCol w:w="3420"/>
      </w:tblGrid>
      <w:tr>
        <w:trPr>
          <w:tblHeader/>
        </w:trPr>
        <w:tc>
          <w:tcPr>
            <w:tcW w:type="dxa" w:w="22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Angriffsart</w:t>
            </w:r>
          </w:p>
        </w:tc>
        <w:tc>
          <w:tcPr>
            <w:tcW w:type="dxa" w:w="34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Vorgehen</w:t>
            </w:r>
          </w:p>
        </w:tc>
        <w:tc>
          <w:tcPr>
            <w:tcW w:type="dxa" w:w="34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Betroffenes Schutzziel</w:t>
            </w:r>
          </w:p>
        </w:tc>
      </w:tr>
      <w:tr>
        <w:tc>
          <w:tcPr>
            <w:tcW w:type="dxa" w:w="2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Phishing</w:t>
            </w:r>
          </w:p>
        </w:tc>
        <w:tc>
          <w:tcPr>
            <w:tcW w:type="dxa" w:w="3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Gefälschte Mails oder Seiten fragen Zugangsdaten ab</w:t>
            </w:r>
          </w:p>
        </w:tc>
        <w:tc>
          <w:tcPr>
            <w:tcW w:type="dxa" w:w="3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Vertraulichkeit</w:t>
            </w:r>
          </w:p>
        </w:tc>
      </w:tr>
      <w:tr>
        <w:tc>
          <w:tcPr>
            <w:tcW w:type="dxa" w:w="2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Ransomware</w:t>
            </w:r>
          </w:p>
        </w:tc>
        <w:tc>
          <w:tcPr>
            <w:tcW w:type="dxa" w:w="3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Daten werden verschlüsselt, Lösegeld gefordert</w:t>
            </w:r>
          </w:p>
        </w:tc>
        <w:tc>
          <w:tcPr>
            <w:tcW w:type="dxa" w:w="3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Verfügbarkeit, oft auch Vertraulichkeit</w:t>
            </w:r>
          </w:p>
        </w:tc>
      </w:tr>
      <w:tr>
        <w:tc>
          <w:tcPr>
            <w:tcW w:type="dxa" w:w="2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Malware</w:t>
            </w:r>
          </w:p>
        </w:tc>
        <w:tc>
          <w:tcPr>
            <w:tcW w:type="dxa" w:w="3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Schadprogramme spähen aus oder manipulieren</w:t>
            </w:r>
          </w:p>
        </w:tc>
        <w:tc>
          <w:tcPr>
            <w:tcW w:type="dxa" w:w="3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Alle drei</w:t>
            </w:r>
          </w:p>
        </w:tc>
      </w:tr>
      <w:tr>
        <w:tc>
          <w:tcPr>
            <w:tcW w:type="dxa" w:w="2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DDoS</w:t>
            </w:r>
          </w:p>
        </w:tc>
        <w:tc>
          <w:tcPr>
            <w:tcW w:type="dxa" w:w="3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Dienste werden durch Massenanfragen überlastet</w:t>
            </w:r>
          </w:p>
        </w:tc>
        <w:tc>
          <w:tcPr>
            <w:tcW w:type="dxa" w:w="3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Verfügbarkeit</w:t>
            </w:r>
          </w:p>
        </w:tc>
      </w:tr>
      <w:tr>
        <w:tc>
          <w:tcPr>
            <w:tcW w:type="dxa" w:w="2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Angriffe auf Passwörter</w:t>
            </w:r>
          </w:p>
        </w:tc>
        <w:tc>
          <w:tcPr>
            <w:tcW w:type="dxa" w:w="3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Brute Force, Ausprobieren geleakter Zugänge</w:t>
            </w:r>
          </w:p>
        </w:tc>
        <w:tc>
          <w:tcPr>
            <w:tcW w:type="dxa" w:w="3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Vertraulichkeit</w:t>
            </w:r>
          </w:p>
        </w:tc>
      </w:tr>
      <w:tr>
        <w:tc>
          <w:tcPr>
            <w:tcW w:type="dxa" w:w="2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Social Engineering</w:t>
            </w:r>
          </w:p>
        </w:tc>
        <w:tc>
          <w:tcPr>
            <w:tcW w:type="dxa" w:w="3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Menschen werden getäuscht statt Technik überwunden</w:t>
            </w:r>
          </w:p>
        </w:tc>
        <w:tc>
          <w:tcPr>
            <w:tcW w:type="dxa" w:w="3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Alle drei</w:t>
            </w:r>
          </w:p>
        </w:tc>
      </w:tr>
    </w:tbl>
    <w:p>
      <w:pPr>
        <w:spacing w:after="140"/>
      </w:pPr>
    </w:p>
    <w:p>
      <w:pPr>
        <w:spacing w:after="120"/>
      </w:pPr>
      <w:r>
        <w:rPr>
          <w:rFonts w:ascii="Calibri" w:cs="Calibri" w:eastAsia="Calibri" w:hAnsi="Calibri"/>
          <w:b w:val="false"/>
          <w:bCs w:val="false"/>
          <w:i w:val="false"/>
          <w:iCs w:val="false"/>
          <w:color w:val="1A1A1A"/>
          <w:sz w:val="22"/>
          <w:szCs w:val="22"/>
        </w:rPr>
        <w:t xml:space="preserve">Nach den jährlichen Erhebungen der Branchenverbände ist die Mehrheit der deutschen Unternehmen innerhalb von zwölf Monaten von mindestens einem Angriff betroffen. Kleine und mittlere Unternehmen sind dabei nicht ausgenommen – sie werden häufig als Zugang zu größeren Kunden angegriffen.</w:t>
      </w:r>
    </w:p>
    <w:p>
      <w:pPr>
        <w:pStyle w:val="Heading3"/>
        <w:spacing w:after="80" w:before="200"/>
      </w:pPr>
      <w:r>
        <w:rPr>
          <w:rFonts w:ascii="Calibri" w:cs="Calibri" w:eastAsia="Calibri" w:hAnsi="Calibri"/>
          <w:b/>
          <w:bCs/>
          <w:color w:val="003366"/>
          <w:sz w:val="23"/>
          <w:szCs w:val="23"/>
        </w:rPr>
        <w:t xml:space="preserve">2.1 Social Engineering</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1800"/>
        <w:gridCol w:w="3600"/>
        <w:gridCol w:w="3620"/>
      </w:tblGrid>
      <w:tr>
        <w:trPr>
          <w:tblHeader/>
        </w:trPr>
        <w:tc>
          <w:tcPr>
            <w:tcW w:type="dxa" w:w="18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Hebel</w:t>
            </w:r>
          </w:p>
        </w:tc>
        <w:tc>
          <w:tcPr>
            <w:tcW w:type="dxa" w:w="36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Beispiel</w:t>
            </w:r>
          </w:p>
        </w:tc>
        <w:tc>
          <w:tcPr>
            <w:tcW w:type="dxa" w:w="36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Gegenmaßnahme</w:t>
            </w:r>
          </w:p>
        </w:tc>
      </w:tr>
      <w:tr>
        <w:tc>
          <w:tcPr>
            <w:tcW w:type="dxa" w:w="1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Autorität</w:t>
            </w:r>
          </w:p>
        </w:tc>
        <w:tc>
          <w:tcPr>
            <w:tcW w:type="dxa" w:w="3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Angeblicher Anruf der Geschäftsführung mit dringender Zahlung</w:t>
            </w:r>
          </w:p>
        </w:tc>
        <w:tc>
          <w:tcPr>
            <w:tcW w:type="dxa" w:w="3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Rückruf über die bekannte Nummer, Vier-Augen-Prinzip</w:t>
            </w:r>
          </w:p>
        </w:tc>
      </w:tr>
      <w:tr>
        <w:tc>
          <w:tcPr>
            <w:tcW w:type="dxa" w:w="18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Zeitdruck</w:t>
            </w:r>
          </w:p>
        </w:tc>
        <w:tc>
          <w:tcPr>
            <w:tcW w:type="dxa" w:w="3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"Ihr Zugang läuft in zehn Minuten ab"</w:t>
            </w:r>
          </w:p>
        </w:tc>
        <w:tc>
          <w:tcPr>
            <w:tcW w:type="dxa" w:w="3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Feste Regel: keine Zugangsdaten am Telefon</w:t>
            </w:r>
          </w:p>
        </w:tc>
      </w:tr>
      <w:tr>
        <w:tc>
          <w:tcPr>
            <w:tcW w:type="dxa" w:w="1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Hilfsbereitschaft</w:t>
            </w:r>
          </w:p>
        </w:tc>
        <w:tc>
          <w:tcPr>
            <w:tcW w:type="dxa" w:w="3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Techniker ohne Termin, Tür wird aufgehalten</w:t>
            </w:r>
          </w:p>
        </w:tc>
        <w:tc>
          <w:tcPr>
            <w:tcW w:type="dxa" w:w="3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Besucheranmeldung, Begleitpflicht</w:t>
            </w:r>
          </w:p>
        </w:tc>
      </w:tr>
      <w:tr>
        <w:tc>
          <w:tcPr>
            <w:tcW w:type="dxa" w:w="18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Neugier</w:t>
            </w:r>
          </w:p>
        </w:tc>
        <w:tc>
          <w:tcPr>
            <w:tcW w:type="dxa" w:w="3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USB-Stick auf dem Parkplatz</w:t>
            </w:r>
          </w:p>
        </w:tc>
        <w:tc>
          <w:tcPr>
            <w:tcW w:type="dxa" w:w="3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Fremde Datenträger nicht anschließen</w:t>
            </w:r>
          </w:p>
        </w:tc>
      </w:tr>
    </w:tbl>
    <w:p>
      <w:pPr>
        <w:spacing w:after="140"/>
      </w:pPr>
    </w:p>
    <w:tbl>
      <w:tblPr>
        <w:tblW w:type="dxa" w:w="9020"/>
        <w:tblBorders>
          <w:top w:val="none"/>
          <w:left w:val="single" w:color="F0A500" w:sz="18"/>
          <w:bottom w:val="none"/>
          <w:right w:val="none"/>
          <w:insideH w:val="none"/>
          <w:insideV w:val="none"/>
        </w:tblBorders>
        <w:tblLayout w:type="fixed"/>
      </w:tblPr>
      <w:tblGrid>
        <w:gridCol w:w="9020"/>
      </w:tblGrid>
      <w:tr>
        <w:tc>
          <w:tcPr>
            <w:tcW w:type="dxa" w:w="9020"/>
            <w:shd w:fill="FFF4DC"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Dozenten-Hinweis</w:t>
            </w:r>
          </w:p>
          <w:p>
            <w:pPr>
              <w:spacing w:after="40"/>
            </w:pPr>
            <w:r>
              <w:rPr>
                <w:rFonts w:ascii="Calibri" w:cs="Calibri" w:eastAsia="Calibri" w:hAnsi="Calibri"/>
                <w:sz w:val="21"/>
                <w:szCs w:val="21"/>
              </w:rPr>
              <w:t xml:space="preserve">Fehlerkultur ist hier eine Sicherheitsmaßnahme: Wer eine geklickte Phishing-Mail sofort meldet, begrenzt den Schaden. Wenn Meldungen sanktioniert werden, wird nichts mehr gemeldet – und der Angriff läuft weiter.</w:t>
            </w:r>
          </w:p>
        </w:tc>
      </w:tr>
    </w:tbl>
    <w:p>
      <w:pPr>
        <w:spacing w:after="140"/>
      </w:pPr>
    </w:p>
    <w:p>
      <w:pPr>
        <w:pStyle w:val="Heading2"/>
        <w:spacing w:after="120" w:before="280"/>
      </w:pPr>
      <w:r>
        <w:rPr>
          <w:rFonts w:ascii="Calibri" w:cs="Calibri" w:eastAsia="Calibri" w:hAnsi="Calibri"/>
          <w:b/>
          <w:bCs/>
          <w:color w:val="0066AA"/>
          <w:sz w:val="26"/>
          <w:szCs w:val="26"/>
        </w:rPr>
        <w:t xml:space="preserve">3 Maßnahmen</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600"/>
        <w:gridCol w:w="6420"/>
      </w:tblGrid>
      <w:tr>
        <w:trPr>
          <w:tblHeader/>
        </w:trPr>
        <w:tc>
          <w:tcPr>
            <w:tcW w:type="dxa" w:w="26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Kategorie</w:t>
            </w:r>
          </w:p>
        </w:tc>
        <w:tc>
          <w:tcPr>
            <w:tcW w:type="dxa" w:w="64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Maßnahmen</w:t>
            </w:r>
          </w:p>
        </w:tc>
      </w:tr>
      <w:tr>
        <w:tc>
          <w:tcPr>
            <w:tcW w:type="dxa" w:w="2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Technisch (baulich und physisch)</w:t>
            </w:r>
          </w:p>
        </w:tc>
        <w:tc>
          <w:tcPr>
            <w:tcW w:type="dxa" w:w="6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Brandschutz und Rauchmelder, Sprinkler, Blitzschutz, Notstromversorgung, Türsicherungen, Alarmanlagen, Klimatisierung</w:t>
            </w:r>
          </w:p>
        </w:tc>
      </w:tr>
      <w:tr>
        <w:tc>
          <w:tcPr>
            <w:tcW w:type="dxa" w:w="2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Organisatorisch</w:t>
            </w:r>
          </w:p>
        </w:tc>
        <w:tc>
          <w:tcPr>
            <w:tcW w:type="dxa" w:w="6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Zutritts- und Zugriffskonzept, Benutzerkennungen und Passwortregeln, Ausweise, Schulungen, Meldewege, Sicherungskopien im Tresor, Notfallhandbuch, Ausweichstandort</w:t>
            </w:r>
          </w:p>
        </w:tc>
      </w:tr>
      <w:tr>
        <w:tc>
          <w:tcPr>
            <w:tcW w:type="dxa" w:w="2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Softwareseitig</w:t>
            </w:r>
          </w:p>
        </w:tc>
        <w:tc>
          <w:tcPr>
            <w:tcW w:type="dxa" w:w="6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Verschlüsselung, Virenschutz und Firewall, Protokollierung, Plausibilitätsprüfungen, Prüfsummen, Rechteverwaltung</w:t>
            </w:r>
          </w:p>
        </w:tc>
      </w:tr>
    </w:tbl>
    <w:p>
      <w:pPr>
        <w:spacing w:after="140"/>
      </w:pPr>
    </w:p>
    <w:tbl>
      <w:tblPr>
        <w:tblW w:type="dxa" w:w="9020"/>
        <w:tblBorders>
          <w:top w:val="none"/>
          <w:left w:val="single" w:color="003366" w:sz="18"/>
          <w:bottom w:val="none"/>
          <w:right w:val="none"/>
          <w:insideH w:val="none"/>
          <w:insideV w:val="none"/>
        </w:tblBorders>
        <w:tblLayout w:type="fixed"/>
      </w:tblPr>
      <w:tblGrid>
        <w:gridCol w:w="9020"/>
      </w:tblGrid>
      <w:tr>
        <w:tc>
          <w:tcPr>
            <w:tcW w:type="dxa" w:w="9020"/>
            <w:shd w:fill="D6E4F0"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Merke</w:t>
            </w:r>
          </w:p>
          <w:p>
            <w:pPr>
              <w:spacing w:after="40"/>
            </w:pPr>
            <w:r>
              <w:rPr>
                <w:rFonts w:ascii="Calibri" w:cs="Calibri" w:eastAsia="Calibri" w:hAnsi="Calibri"/>
                <w:sz w:val="21"/>
                <w:szCs w:val="21"/>
              </w:rPr>
              <w:t xml:space="preserve">Technische Maßnahmen ohne organisatorische Regeln verpuffen: Die beste Sicherheitstür nützt nichts, wenn sie für Lieferanten aufgehalten wird.</w:t>
            </w:r>
          </w:p>
        </w:tc>
      </w:tr>
    </w:tbl>
    <w:p>
      <w:pPr>
        <w:spacing w:after="140"/>
      </w:pPr>
    </w:p>
    <w:p>
      <w:pPr>
        <w:pStyle w:val="Heading3"/>
        <w:spacing w:after="80" w:before="200"/>
      </w:pPr>
      <w:r>
        <w:rPr>
          <w:rFonts w:ascii="Calibri" w:cs="Calibri" w:eastAsia="Calibri" w:hAnsi="Calibri"/>
          <w:b/>
          <w:bCs/>
          <w:color w:val="003366"/>
          <w:sz w:val="23"/>
          <w:szCs w:val="23"/>
        </w:rPr>
        <w:t xml:space="preserve">3.1 Datensicherung</w:t>
      </w:r>
    </w:p>
    <w:p>
      <w:pPr>
        <w:spacing w:after="120"/>
      </w:pPr>
      <w:r>
        <w:rPr>
          <w:rFonts w:ascii="Calibri" w:cs="Calibri" w:eastAsia="Calibri" w:hAnsi="Calibri"/>
          <w:b w:val="false"/>
          <w:bCs w:val="false"/>
          <w:i w:val="false"/>
          <w:iCs w:val="false"/>
          <w:color w:val="1A1A1A"/>
          <w:sz w:val="22"/>
          <w:szCs w:val="22"/>
        </w:rPr>
        <w:t xml:space="preserve">Die Datensicherung ist die letzte Verteidigungslinie. Bewährt hat sich die Regel drei – zwei – eins: drei Kopien der Daten, auf zwei verschiedenen Medien, davon eine außer Haus.</w:t>
      </w:r>
    </w:p>
    <w:p>
      <w:pPr>
        <w:pStyle w:val="ListParagraph"/>
        <w:numPr>
          <w:ilvl w:val="0"/>
          <w:numId w:val="2"/>
        </w:numPr>
        <w:spacing w:after="60"/>
      </w:pPr>
      <w:r>
        <w:rPr>
          <w:rFonts w:ascii="Calibri" w:cs="Calibri" w:eastAsia="Calibri" w:hAnsi="Calibri"/>
          <w:sz w:val="22"/>
          <w:szCs w:val="22"/>
        </w:rPr>
        <w:t xml:space="preserve">Mindestens eine Kopie offline oder unveränderbar aufbewahren, sonst verschlüsselt Ransomware auch die Sicherung.</w:t>
      </w:r>
    </w:p>
    <w:p>
      <w:pPr>
        <w:pStyle w:val="ListParagraph"/>
        <w:numPr>
          <w:ilvl w:val="0"/>
          <w:numId w:val="2"/>
        </w:numPr>
        <w:spacing w:after="60"/>
      </w:pPr>
      <w:r>
        <w:rPr>
          <w:rFonts w:ascii="Calibri" w:cs="Calibri" w:eastAsia="Calibri" w:hAnsi="Calibri"/>
          <w:sz w:val="22"/>
          <w:szCs w:val="22"/>
        </w:rPr>
        <w:t xml:space="preserve">Die Rücksicherung regelmäßig testen – eine nie zurückgespielte Sicherung ist keine Sicherung.</w:t>
      </w:r>
    </w:p>
    <w:p>
      <w:pPr>
        <w:pStyle w:val="ListParagraph"/>
        <w:numPr>
          <w:ilvl w:val="0"/>
          <w:numId w:val="2"/>
        </w:numPr>
        <w:spacing w:after="60"/>
      </w:pPr>
      <w:r>
        <w:rPr>
          <w:rFonts w:ascii="Calibri" w:cs="Calibri" w:eastAsia="Calibri" w:hAnsi="Calibri"/>
          <w:sz w:val="22"/>
          <w:szCs w:val="22"/>
        </w:rPr>
        <w:t xml:space="preserve">Sicherungsläufe überwachen und Fehlläufe als Störung behandeln, nicht manuell nachstarten.</w:t>
      </w:r>
    </w:p>
    <w:p>
      <w:pPr>
        <w:pStyle w:val="ListParagraph"/>
        <w:numPr>
          <w:ilvl w:val="0"/>
          <w:numId w:val="2"/>
        </w:numPr>
        <w:spacing w:after="60"/>
      </w:pPr>
      <w:r>
        <w:rPr>
          <w:rFonts w:ascii="Calibri" w:cs="Calibri" w:eastAsia="Calibri" w:hAnsi="Calibri"/>
          <w:sz w:val="22"/>
          <w:szCs w:val="22"/>
        </w:rPr>
        <w:t xml:space="preserve">Aufbewahrungsfristen und Löschpflichten gelten auch für Sicherungen.</w:t>
      </w:r>
    </w:p>
    <w:p>
      <w:pPr>
        <w:pStyle w:val="Heading3"/>
        <w:spacing w:after="80" w:before="200"/>
      </w:pPr>
      <w:r>
        <w:rPr>
          <w:rFonts w:ascii="Calibri" w:cs="Calibri" w:eastAsia="Calibri" w:hAnsi="Calibri"/>
          <w:b/>
          <w:bCs/>
          <w:color w:val="003366"/>
          <w:sz w:val="23"/>
          <w:szCs w:val="23"/>
        </w:rPr>
        <w:t xml:space="preserve">3.2 Überwachung im Rechenzentrum</w:t>
      </w:r>
    </w:p>
    <w:p>
      <w:pPr>
        <w:pStyle w:val="ListParagraph"/>
        <w:numPr>
          <w:ilvl w:val="0"/>
          <w:numId w:val="2"/>
        </w:numPr>
        <w:spacing w:after="60"/>
      </w:pPr>
      <w:r>
        <w:rPr>
          <w:rFonts w:ascii="Calibri" w:cs="Calibri" w:eastAsia="Calibri" w:hAnsi="Calibri"/>
          <w:sz w:val="22"/>
          <w:szCs w:val="22"/>
        </w:rPr>
        <w:t xml:space="preserve">IT-Monitoring und Netzwerk-Management-System.</w:t>
      </w:r>
    </w:p>
    <w:p>
      <w:pPr>
        <w:pStyle w:val="ListParagraph"/>
        <w:numPr>
          <w:ilvl w:val="0"/>
          <w:numId w:val="2"/>
        </w:numPr>
        <w:spacing w:after="60"/>
      </w:pPr>
      <w:r>
        <w:rPr>
          <w:rFonts w:ascii="Calibri" w:cs="Calibri" w:eastAsia="Calibri" w:hAnsi="Calibri"/>
          <w:sz w:val="22"/>
          <w:szCs w:val="22"/>
        </w:rPr>
        <w:t xml:space="preserve">Zutrittskontrolle mit Türsensorik, Videoüberwachung, Schrank- und Rack-Sensoren.</w:t>
      </w:r>
    </w:p>
    <w:p>
      <w:pPr>
        <w:pStyle w:val="ListParagraph"/>
        <w:numPr>
          <w:ilvl w:val="0"/>
          <w:numId w:val="2"/>
        </w:numPr>
        <w:spacing w:after="60"/>
      </w:pPr>
      <w:r>
        <w:rPr>
          <w:rFonts w:ascii="Calibri" w:cs="Calibri" w:eastAsia="Calibri" w:hAnsi="Calibri"/>
          <w:sz w:val="22"/>
          <w:szCs w:val="22"/>
        </w:rPr>
        <w:t xml:space="preserve">Sensoren für Temperatur, Luftfeuchtigkeit und Luftzirkulation.</w:t>
      </w:r>
    </w:p>
    <w:p>
      <w:pPr>
        <w:pStyle w:val="ListParagraph"/>
        <w:numPr>
          <w:ilvl w:val="0"/>
          <w:numId w:val="2"/>
        </w:numPr>
        <w:spacing w:after="60"/>
      </w:pPr>
      <w:r>
        <w:rPr>
          <w:rFonts w:ascii="Calibri" w:cs="Calibri" w:eastAsia="Calibri" w:hAnsi="Calibri"/>
          <w:sz w:val="22"/>
          <w:szCs w:val="22"/>
        </w:rPr>
        <w:t xml:space="preserve">Wassersensoren im Doppelboden, Rauchmelder, Sirenen.</w:t>
      </w:r>
    </w:p>
    <w:p>
      <w:pPr>
        <w:pStyle w:val="ListParagraph"/>
        <w:numPr>
          <w:ilvl w:val="0"/>
          <w:numId w:val="2"/>
        </w:numPr>
        <w:spacing w:after="60"/>
      </w:pPr>
      <w:r>
        <w:rPr>
          <w:rFonts w:ascii="Calibri" w:cs="Calibri" w:eastAsia="Calibri" w:hAnsi="Calibri"/>
          <w:sz w:val="22"/>
          <w:szCs w:val="22"/>
        </w:rPr>
        <w:t xml:space="preserve">Power-Monitoring und unterbrechungsfreie Stromversorgung.</w:t>
      </w:r>
    </w:p>
    <w:p>
      <w:pPr>
        <w:spacing w:after="120"/>
      </w:pPr>
      <w:r>
        <w:rPr>
          <w:rFonts w:ascii="Calibri" w:cs="Calibri" w:eastAsia="Calibri" w:hAnsi="Calibri"/>
          <w:b w:val="false"/>
          <w:bCs w:val="false"/>
          <w:i w:val="false"/>
          <w:iCs w:val="false"/>
          <w:color w:val="1A1A1A"/>
          <w:sz w:val="22"/>
          <w:szCs w:val="22"/>
        </w:rPr>
        <w:t xml:space="preserve">Überwachung erzeugt nur dann Sicherheit, wenn Meldungen einen Empfänger und eine festgelegte Reaktion haben. Ein Alarm, der im Postfach eines abwesenden Kollegen landet, ist wirkungslos.</w:t>
      </w:r>
    </w:p>
    <w:p>
      <w:pPr>
        <w:pStyle w:val="Heading2"/>
        <w:spacing w:after="120" w:before="280"/>
      </w:pPr>
      <w:r>
        <w:rPr>
          <w:rFonts w:ascii="Calibri" w:cs="Calibri" w:eastAsia="Calibri" w:hAnsi="Calibri"/>
          <w:b/>
          <w:bCs/>
          <w:color w:val="0066AA"/>
          <w:sz w:val="26"/>
          <w:szCs w:val="26"/>
        </w:rPr>
        <w:t xml:space="preserve">4 Datenschutz</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1900"/>
        <w:gridCol w:w="3500"/>
        <w:gridCol w:w="3620"/>
      </w:tblGrid>
      <w:tr>
        <w:trPr>
          <w:tblHeader/>
        </w:trPr>
        <w:tc>
          <w:tcPr>
            <w:tcW w:type="dxa" w:w="19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Merkmal</w:t>
            </w:r>
          </w:p>
        </w:tc>
        <w:tc>
          <w:tcPr>
            <w:tcW w:type="dxa" w:w="35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Datensicherheit</w:t>
            </w:r>
          </w:p>
        </w:tc>
        <w:tc>
          <w:tcPr>
            <w:tcW w:type="dxa" w:w="36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Datenschutz</w:t>
            </w:r>
          </w:p>
        </w:tc>
      </w:tr>
      <w:tr>
        <w:tc>
          <w:tcPr>
            <w:tcW w:type="dxa" w:w="19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Schutzgegenstand</w:t>
            </w:r>
          </w:p>
        </w:tc>
        <w:tc>
          <w:tcPr>
            <w:tcW w:type="dxa" w:w="35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Alle Daten des Unternehmens</w:t>
            </w:r>
          </w:p>
        </w:tc>
        <w:tc>
          <w:tcPr>
            <w:tcW w:type="dxa" w:w="3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Personenbezogene Daten</w:t>
            </w:r>
          </w:p>
        </w:tc>
      </w:tr>
      <w:tr>
        <w:tc>
          <w:tcPr>
            <w:tcW w:type="dxa" w:w="19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Schutzzweck</w:t>
            </w:r>
          </w:p>
        </w:tc>
        <w:tc>
          <w:tcPr>
            <w:tcW w:type="dxa" w:w="35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Handlungsfähigkeit des Unternehmens</w:t>
            </w:r>
          </w:p>
        </w:tc>
        <w:tc>
          <w:tcPr>
            <w:tcW w:type="dxa" w:w="3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Persönlichkeitsrecht der betroffenen Person</w:t>
            </w:r>
          </w:p>
        </w:tc>
      </w:tr>
      <w:tr>
        <w:tc>
          <w:tcPr>
            <w:tcW w:type="dxa" w:w="19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Mittel</w:t>
            </w:r>
          </w:p>
        </w:tc>
        <w:tc>
          <w:tcPr>
            <w:tcW w:type="dxa" w:w="35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Technische und organisatorische Maßnahmen</w:t>
            </w:r>
          </w:p>
        </w:tc>
        <w:tc>
          <w:tcPr>
            <w:tcW w:type="dxa" w:w="3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Rechtliche Vorgaben, umgesetzt durch technische und organisatorische Maßnahmen</w:t>
            </w:r>
          </w:p>
        </w:tc>
      </w:tr>
      <w:tr>
        <w:tc>
          <w:tcPr>
            <w:tcW w:type="dxa" w:w="19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Grundlage</w:t>
            </w:r>
          </w:p>
        </w:tc>
        <w:tc>
          <w:tcPr>
            <w:tcW w:type="dxa" w:w="35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Interne Vorgaben, Normen wie ISO/IEC 27001</w:t>
            </w:r>
          </w:p>
        </w:tc>
        <w:tc>
          <w:tcPr>
            <w:tcW w:type="dxa" w:w="3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DSGVO, BDSG</w:t>
            </w:r>
          </w:p>
        </w:tc>
      </w:tr>
    </w:tbl>
    <w:p>
      <w:pPr>
        <w:spacing w:after="140"/>
      </w:pPr>
    </w:p>
    <w:tbl>
      <w:tblPr>
        <w:tblW w:type="dxa" w:w="9020"/>
        <w:tblBorders>
          <w:top w:val="none"/>
          <w:left w:val="single" w:color="003366" w:sz="18"/>
          <w:bottom w:val="none"/>
          <w:right w:val="none"/>
          <w:insideH w:val="none"/>
          <w:insideV w:val="none"/>
        </w:tblBorders>
        <w:tblLayout w:type="fixed"/>
      </w:tblPr>
      <w:tblGrid>
        <w:gridCol w:w="9020"/>
      </w:tblGrid>
      <w:tr>
        <w:tc>
          <w:tcPr>
            <w:tcW w:type="dxa" w:w="9020"/>
            <w:shd w:fill="D6E4F0"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Merke</w:t>
            </w:r>
          </w:p>
          <w:p>
            <w:pPr>
              <w:spacing w:after="40"/>
            </w:pPr>
            <w:r>
              <w:rPr>
                <w:rFonts w:ascii="Calibri" w:cs="Calibri" w:eastAsia="Calibri" w:hAnsi="Calibri"/>
                <w:sz w:val="21"/>
                <w:szCs w:val="21"/>
              </w:rPr>
              <w:t xml:space="preserve">Datenschutz ohne Datensicherheit ist nicht möglich, Datensicherheit ohne Datenschutz schon. Deshalb ist Datenschutz immer auch eine technische Aufgabe.</w:t>
            </w:r>
          </w:p>
        </w:tc>
      </w:tr>
    </w:tbl>
    <w:p>
      <w:pPr>
        <w:spacing w:after="140"/>
      </w:pPr>
    </w:p>
    <w:p>
      <w:pPr>
        <w:pStyle w:val="Heading3"/>
        <w:spacing w:after="80" w:before="200"/>
      </w:pPr>
      <w:r>
        <w:rPr>
          <w:rFonts w:ascii="Calibri" w:cs="Calibri" w:eastAsia="Calibri" w:hAnsi="Calibri"/>
          <w:b/>
          <w:bCs/>
          <w:color w:val="003366"/>
          <w:sz w:val="23"/>
          <w:szCs w:val="23"/>
        </w:rPr>
        <w:t xml:space="preserve">4.1 Personenbezogene Daten</w:t>
      </w:r>
    </w:p>
    <w:p>
      <w:pPr>
        <w:spacing w:after="120"/>
      </w:pPr>
      <w:r>
        <w:rPr>
          <w:rFonts w:ascii="Calibri" w:cs="Calibri" w:eastAsia="Calibri" w:hAnsi="Calibri"/>
          <w:b w:val="false"/>
          <w:bCs w:val="false"/>
          <w:i w:val="false"/>
          <w:iCs w:val="false"/>
          <w:color w:val="1A1A1A"/>
          <w:sz w:val="22"/>
          <w:szCs w:val="22"/>
        </w:rPr>
        <w:t xml:space="preserve">Personenbezogene Daten sind alle Informationen, die sich auf eine identifizierte oder identifizierbare natürliche Person beziehen. Im Systemhaus betrifft das Kundenkontakte, Benutzerkonten, Ticketinhalte, Protokolldateien mit Benutzerkennungen und Videoaufzeichnungen. Für besondere Kategorien gelten strengere Anforderungen.</w:t>
      </w:r>
    </w:p>
    <w:p>
      <w:pPr>
        <w:pStyle w:val="Heading3"/>
        <w:spacing w:after="80" w:before="200"/>
      </w:pPr>
      <w:r>
        <w:rPr>
          <w:rFonts w:ascii="Calibri" w:cs="Calibri" w:eastAsia="Calibri" w:hAnsi="Calibri"/>
          <w:b/>
          <w:bCs/>
          <w:color w:val="003366"/>
          <w:sz w:val="23"/>
          <w:szCs w:val="23"/>
        </w:rPr>
        <w:t xml:space="preserve">4.2 Grundsätze der Verarbeitung</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600"/>
        <w:gridCol w:w="6420"/>
      </w:tblGrid>
      <w:tr>
        <w:trPr>
          <w:tblHeader/>
        </w:trPr>
        <w:tc>
          <w:tcPr>
            <w:tcW w:type="dxa" w:w="26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Grundsatz</w:t>
            </w:r>
          </w:p>
        </w:tc>
        <w:tc>
          <w:tcPr>
            <w:tcW w:type="dxa" w:w="64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Bedeutung</w:t>
            </w:r>
          </w:p>
        </w:tc>
      </w:tr>
      <w:tr>
        <w:tc>
          <w:tcPr>
            <w:tcW w:type="dxa" w:w="2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Rechtmäßigkeit</w:t>
            </w:r>
          </w:p>
        </w:tc>
        <w:tc>
          <w:tcPr>
            <w:tcW w:type="dxa" w:w="6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Ohne Rechtsgrundlage – etwa Vertrag, Einwilligung oder gesetzliche Pflicht – keine Verarbeitung</w:t>
            </w:r>
          </w:p>
        </w:tc>
      </w:tr>
      <w:tr>
        <w:tc>
          <w:tcPr>
            <w:tcW w:type="dxa" w:w="2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Zweckbindung</w:t>
            </w:r>
          </w:p>
        </w:tc>
        <w:tc>
          <w:tcPr>
            <w:tcW w:type="dxa" w:w="6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Daten dürfen nur für den festgelegten Zweck verwendet werden</w:t>
            </w:r>
          </w:p>
        </w:tc>
      </w:tr>
      <w:tr>
        <w:tc>
          <w:tcPr>
            <w:tcW w:type="dxa" w:w="2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Datenminimierung</w:t>
            </w:r>
          </w:p>
        </w:tc>
        <w:tc>
          <w:tcPr>
            <w:tcW w:type="dxa" w:w="6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Nur so viele Daten wie für den Zweck erforderlich</w:t>
            </w:r>
          </w:p>
        </w:tc>
      </w:tr>
      <w:tr>
        <w:tc>
          <w:tcPr>
            <w:tcW w:type="dxa" w:w="2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Richtigkeit</w:t>
            </w:r>
          </w:p>
        </w:tc>
        <w:tc>
          <w:tcPr>
            <w:tcW w:type="dxa" w:w="6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Daten sind aktuell zu halten, Unrichtiges ist zu berichtigen</w:t>
            </w:r>
          </w:p>
        </w:tc>
      </w:tr>
      <w:tr>
        <w:tc>
          <w:tcPr>
            <w:tcW w:type="dxa" w:w="2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Speicherbegrenzung</w:t>
            </w:r>
          </w:p>
        </w:tc>
        <w:tc>
          <w:tcPr>
            <w:tcW w:type="dxa" w:w="6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Löschen, sobald der Zweck entfällt und keine Aufbewahrungspflicht besteht</w:t>
            </w:r>
          </w:p>
        </w:tc>
      </w:tr>
      <w:tr>
        <w:tc>
          <w:tcPr>
            <w:tcW w:type="dxa" w:w="2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Integrität und Vertraulichkeit</w:t>
            </w:r>
          </w:p>
        </w:tc>
        <w:tc>
          <w:tcPr>
            <w:tcW w:type="dxa" w:w="6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Angemessener Schutz durch technische und organisatorische Maßnahmen</w:t>
            </w:r>
          </w:p>
        </w:tc>
      </w:tr>
      <w:tr>
        <w:tc>
          <w:tcPr>
            <w:tcW w:type="dxa" w:w="2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Rechenschaftspflicht</w:t>
            </w:r>
          </w:p>
        </w:tc>
        <w:tc>
          <w:tcPr>
            <w:tcW w:type="dxa" w:w="6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Das Unternehmen muss die Einhaltung nachweisen können</w:t>
            </w:r>
          </w:p>
        </w:tc>
      </w:tr>
    </w:tbl>
    <w:p>
      <w:pPr>
        <w:spacing w:after="140"/>
      </w:pPr>
    </w:p>
    <w:p>
      <w:pPr>
        <w:pStyle w:val="Heading3"/>
        <w:spacing w:after="80" w:before="200"/>
      </w:pPr>
      <w:r>
        <w:rPr>
          <w:rFonts w:ascii="Calibri" w:cs="Calibri" w:eastAsia="Calibri" w:hAnsi="Calibri"/>
          <w:b/>
          <w:bCs/>
          <w:color w:val="003366"/>
          <w:sz w:val="23"/>
          <w:szCs w:val="23"/>
        </w:rPr>
        <w:t xml:space="preserve">4.3 Rechte der betroffenen Personen</w:t>
      </w:r>
    </w:p>
    <w:p>
      <w:pPr>
        <w:pStyle w:val="ListParagraph"/>
        <w:numPr>
          <w:ilvl w:val="0"/>
          <w:numId w:val="2"/>
        </w:numPr>
        <w:spacing w:after="60"/>
      </w:pPr>
      <w:r>
        <w:rPr>
          <w:rFonts w:ascii="Calibri" w:cs="Calibri" w:eastAsia="Calibri" w:hAnsi="Calibri"/>
          <w:sz w:val="22"/>
          <w:szCs w:val="22"/>
        </w:rPr>
        <w:t xml:space="preserve">Auskunft über die zu ihrer Person gespeicherten Daten.</w:t>
      </w:r>
    </w:p>
    <w:p>
      <w:pPr>
        <w:pStyle w:val="ListParagraph"/>
        <w:numPr>
          <w:ilvl w:val="0"/>
          <w:numId w:val="2"/>
        </w:numPr>
        <w:spacing w:after="60"/>
      </w:pPr>
      <w:r>
        <w:rPr>
          <w:rFonts w:ascii="Calibri" w:cs="Calibri" w:eastAsia="Calibri" w:hAnsi="Calibri"/>
          <w:sz w:val="22"/>
          <w:szCs w:val="22"/>
        </w:rPr>
        <w:t xml:space="preserve">Berichtigung unrichtiger Daten.</w:t>
      </w:r>
    </w:p>
    <w:p>
      <w:pPr>
        <w:pStyle w:val="ListParagraph"/>
        <w:numPr>
          <w:ilvl w:val="0"/>
          <w:numId w:val="2"/>
        </w:numPr>
        <w:spacing w:after="60"/>
      </w:pPr>
      <w:r>
        <w:rPr>
          <w:rFonts w:ascii="Calibri" w:cs="Calibri" w:eastAsia="Calibri" w:hAnsi="Calibri"/>
          <w:sz w:val="22"/>
          <w:szCs w:val="22"/>
        </w:rPr>
        <w:t xml:space="preserve">Löschung, wenn der Zweck entfallen ist und keine Aufbewahrungspflicht entgegensteht.</w:t>
      </w:r>
    </w:p>
    <w:p>
      <w:pPr>
        <w:pStyle w:val="ListParagraph"/>
        <w:numPr>
          <w:ilvl w:val="0"/>
          <w:numId w:val="2"/>
        </w:numPr>
        <w:spacing w:after="60"/>
      </w:pPr>
      <w:r>
        <w:rPr>
          <w:rFonts w:ascii="Calibri" w:cs="Calibri" w:eastAsia="Calibri" w:hAnsi="Calibri"/>
          <w:sz w:val="22"/>
          <w:szCs w:val="22"/>
        </w:rPr>
        <w:t xml:space="preserve">Einschränkung der Verarbeitung.</w:t>
      </w:r>
    </w:p>
    <w:p>
      <w:pPr>
        <w:pStyle w:val="ListParagraph"/>
        <w:numPr>
          <w:ilvl w:val="0"/>
          <w:numId w:val="2"/>
        </w:numPr>
        <w:spacing w:after="60"/>
      </w:pPr>
      <w:r>
        <w:rPr>
          <w:rFonts w:ascii="Calibri" w:cs="Calibri" w:eastAsia="Calibri" w:hAnsi="Calibri"/>
          <w:sz w:val="22"/>
          <w:szCs w:val="22"/>
        </w:rPr>
        <w:t xml:space="preserve">Datenübertragbarkeit.</w:t>
      </w:r>
    </w:p>
    <w:p>
      <w:pPr>
        <w:pStyle w:val="ListParagraph"/>
        <w:numPr>
          <w:ilvl w:val="0"/>
          <w:numId w:val="2"/>
        </w:numPr>
        <w:spacing w:after="60"/>
      </w:pPr>
      <w:r>
        <w:rPr>
          <w:rFonts w:ascii="Calibri" w:cs="Calibri" w:eastAsia="Calibri" w:hAnsi="Calibri"/>
          <w:sz w:val="22"/>
          <w:szCs w:val="22"/>
        </w:rPr>
        <w:t xml:space="preserve">Widerspruch gegen bestimmte Verarbeitungen.</w:t>
      </w:r>
    </w:p>
    <w:tbl>
      <w:tblPr>
        <w:tblW w:type="dxa" w:w="9020"/>
        <w:tblBorders>
          <w:top w:val="none"/>
          <w:left w:val="single" w:color="F0A500" w:sz="18"/>
          <w:bottom w:val="none"/>
          <w:right w:val="none"/>
          <w:insideH w:val="none"/>
          <w:insideV w:val="none"/>
        </w:tblBorders>
        <w:tblLayout w:type="fixed"/>
      </w:tblPr>
      <w:tblGrid>
        <w:gridCol w:w="9020"/>
      </w:tblGrid>
      <w:tr>
        <w:tc>
          <w:tcPr>
            <w:tcW w:type="dxa" w:w="9020"/>
            <w:shd w:fill="FFF4DC"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Typische Prüfungsfalle</w:t>
            </w:r>
          </w:p>
          <w:p>
            <w:pPr>
              <w:spacing w:after="40"/>
            </w:pPr>
            <w:r>
              <w:rPr>
                <w:rFonts w:ascii="Calibri" w:cs="Calibri" w:eastAsia="Calibri" w:hAnsi="Calibri"/>
                <w:sz w:val="21"/>
                <w:szCs w:val="21"/>
              </w:rPr>
              <w:t xml:space="preserve">Anfragen betroffener Personen sind fristgebunden. Für Beschäftigte gilt: Eine solche Anfrage wird sofort an die zuständige Stelle weitergegeben und nicht selbst beantwortet – auch dann nicht, wenn die Antwort einfach erscheint.</w:t>
            </w:r>
          </w:p>
        </w:tc>
      </w:tr>
    </w:tbl>
    <w:p>
      <w:pPr>
        <w:spacing w:after="140"/>
      </w:pPr>
    </w:p>
    <w:p>
      <w:pPr>
        <w:pStyle w:val="Heading3"/>
        <w:spacing w:after="80" w:before="200"/>
      </w:pPr>
      <w:r>
        <w:rPr>
          <w:rFonts w:ascii="Calibri" w:cs="Calibri" w:eastAsia="Calibri" w:hAnsi="Calibri"/>
          <w:b/>
          <w:bCs/>
          <w:color w:val="003366"/>
          <w:sz w:val="23"/>
          <w:szCs w:val="23"/>
        </w:rPr>
        <w:t xml:space="preserve">4.4 Rollen und Nachweise</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800"/>
        <w:gridCol w:w="6220"/>
      </w:tblGrid>
      <w:tr>
        <w:trPr>
          <w:tblHeader/>
        </w:trPr>
        <w:tc>
          <w:tcPr>
            <w:tcW w:type="dxa" w:w="28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Element</w:t>
            </w:r>
          </w:p>
        </w:tc>
        <w:tc>
          <w:tcPr>
            <w:tcW w:type="dxa" w:w="62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Inhalt</w:t>
            </w:r>
          </w:p>
        </w:tc>
      </w:tr>
      <w:tr>
        <w:tc>
          <w:tcPr>
            <w:tcW w:type="dxa" w:w="2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Datenschutzbeauftragte Stelle</w:t>
            </w:r>
          </w:p>
        </w:tc>
        <w:tc>
          <w:tcPr>
            <w:tcW w:type="dxa" w:w="62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Berät und überwacht die Einhaltung; organisatorisch eine Stabsstelle ohne Weisungsbefugnis, in der Fachaufgabe weisungsfrei. Die Benennungspflicht richtet sich nach DSGVO und BDSG</w:t>
            </w:r>
          </w:p>
        </w:tc>
      </w:tr>
      <w:tr>
        <w:tc>
          <w:tcPr>
            <w:tcW w:type="dxa" w:w="28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Verzeichnis von Verarbeitungstätigkeiten</w:t>
            </w:r>
          </w:p>
        </w:tc>
        <w:tc>
          <w:tcPr>
            <w:tcW w:type="dxa" w:w="62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Übersicht aller Verarbeitungen mit Zweck, Kategorien, Empfängern und Fristen; Grundlage für Nachweise gegenüber der Aufsichtsbehörde</w:t>
            </w:r>
          </w:p>
        </w:tc>
      </w:tr>
      <w:tr>
        <w:tc>
          <w:tcPr>
            <w:tcW w:type="dxa" w:w="2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Auftragsverarbeitung</w:t>
            </w:r>
          </w:p>
        </w:tc>
        <w:tc>
          <w:tcPr>
            <w:tcW w:type="dxa" w:w="62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Verarbeitet das Systemhaus Daten im Auftrag eines Kunden, ist ein schriftlicher Vertrag erforderlich; der Auftraggeber bleibt verantwortlich</w:t>
            </w:r>
          </w:p>
        </w:tc>
      </w:tr>
      <w:tr>
        <w:tc>
          <w:tcPr>
            <w:tcW w:type="dxa" w:w="28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Technische und organisatorische Maßnahmen</w:t>
            </w:r>
          </w:p>
        </w:tc>
        <w:tc>
          <w:tcPr>
            <w:tcW w:type="dxa" w:w="62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Dokumentiert, angemessen zum Risiko und regelmäßig überprüft</w:t>
            </w:r>
          </w:p>
        </w:tc>
      </w:tr>
    </w:tbl>
    <w:p>
      <w:pPr>
        <w:spacing w:after="140"/>
      </w:pPr>
    </w:p>
    <w:p>
      <w:pPr>
        <w:pStyle w:val="Heading2"/>
        <w:spacing w:after="120" w:before="280"/>
      </w:pPr>
      <w:r>
        <w:rPr>
          <w:rFonts w:ascii="Calibri" w:cs="Calibri" w:eastAsia="Calibri" w:hAnsi="Calibri"/>
          <w:b/>
          <w:bCs/>
          <w:color w:val="0066AA"/>
          <w:sz w:val="26"/>
          <w:szCs w:val="26"/>
        </w:rPr>
        <w:t xml:space="preserve">5 Die Datenpanne</w:t>
      </w:r>
    </w:p>
    <w:p>
      <w:pPr>
        <w:pStyle w:val="ListParagraph"/>
        <w:numPr>
          <w:ilvl w:val="0"/>
          <w:numId w:val="3"/>
        </w:numPr>
        <w:spacing w:after="60"/>
      </w:pPr>
      <w:r>
        <w:rPr>
          <w:rFonts w:ascii="Calibri" w:cs="Calibri" w:eastAsia="Calibri" w:hAnsi="Calibri"/>
          <w:sz w:val="22"/>
          <w:szCs w:val="22"/>
        </w:rPr>
        <w:t xml:space="preserve">Sofortige interne Meldung an die zuständige Stelle – dafür gibt es keine Wartezeit und keine Frist.</w:t>
      </w:r>
    </w:p>
    <w:p>
      <w:pPr>
        <w:pStyle w:val="ListParagraph"/>
        <w:numPr>
          <w:ilvl w:val="0"/>
          <w:numId w:val="3"/>
        </w:numPr>
        <w:spacing w:after="60"/>
      </w:pPr>
      <w:r>
        <w:rPr>
          <w:rFonts w:ascii="Calibri" w:cs="Calibri" w:eastAsia="Calibri" w:hAnsi="Calibri"/>
          <w:sz w:val="22"/>
          <w:szCs w:val="22"/>
        </w:rPr>
        <w:t xml:space="preserve">Bewertung des Vorfalls: Welche Daten, wie viele Personen, welches Risiko?</w:t>
      </w:r>
    </w:p>
    <w:p>
      <w:pPr>
        <w:pStyle w:val="ListParagraph"/>
        <w:numPr>
          <w:ilvl w:val="0"/>
          <w:numId w:val="3"/>
        </w:numPr>
        <w:spacing w:after="60"/>
      </w:pPr>
      <w:r>
        <w:rPr>
          <w:rFonts w:ascii="Calibri" w:cs="Calibri" w:eastAsia="Calibri" w:hAnsi="Calibri"/>
          <w:sz w:val="22"/>
          <w:szCs w:val="22"/>
        </w:rPr>
        <w:t xml:space="preserve">Meldung an die Aufsichtsbehörde: in der Regel binnen 72 Stunden nach Bekanntwerden, sofern ein Risiko besteht.</w:t>
      </w:r>
    </w:p>
    <w:p>
      <w:pPr>
        <w:pStyle w:val="ListParagraph"/>
        <w:numPr>
          <w:ilvl w:val="0"/>
          <w:numId w:val="3"/>
        </w:numPr>
        <w:spacing w:after="60"/>
      </w:pPr>
      <w:r>
        <w:rPr>
          <w:rFonts w:ascii="Calibri" w:cs="Calibri" w:eastAsia="Calibri" w:hAnsi="Calibri"/>
          <w:sz w:val="22"/>
          <w:szCs w:val="22"/>
        </w:rPr>
        <w:t xml:space="preserve">Bei voraussichtlich hohem Risiko zusätzlich Benachrichtigung der betroffenen Personen.</w:t>
      </w:r>
    </w:p>
    <w:p>
      <w:pPr>
        <w:pStyle w:val="ListParagraph"/>
        <w:numPr>
          <w:ilvl w:val="0"/>
          <w:numId w:val="3"/>
        </w:numPr>
        <w:spacing w:after="60"/>
      </w:pPr>
      <w:r>
        <w:rPr>
          <w:rFonts w:ascii="Calibri" w:cs="Calibri" w:eastAsia="Calibri" w:hAnsi="Calibri"/>
          <w:sz w:val="22"/>
          <w:szCs w:val="22"/>
        </w:rPr>
        <w:t xml:space="preserve">Dokumentation des Vorfalls – auch dann, wenn keine Meldepflicht bestand.</w:t>
      </w:r>
    </w:p>
    <w:tbl>
      <w:tblPr>
        <w:tblW w:type="dxa" w:w="9020"/>
        <w:tblBorders>
          <w:top w:val="none"/>
          <w:left w:val="single" w:color="F0A500" w:sz="18"/>
          <w:bottom w:val="none"/>
          <w:right w:val="none"/>
          <w:insideH w:val="none"/>
          <w:insideV w:val="none"/>
        </w:tblBorders>
        <w:tblLayout w:type="fixed"/>
      </w:tblPr>
      <w:tblGrid>
        <w:gridCol w:w="9020"/>
      </w:tblGrid>
      <w:tr>
        <w:tc>
          <w:tcPr>
            <w:tcW w:type="dxa" w:w="9020"/>
            <w:shd w:fill="FFF4DC"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Dozenten-Hinweis</w:t>
            </w:r>
          </w:p>
          <w:p>
            <w:pPr>
              <w:spacing w:after="40"/>
            </w:pPr>
            <w:r>
              <w:rPr>
                <w:rFonts w:ascii="Calibri" w:cs="Calibri" w:eastAsia="Calibri" w:hAnsi="Calibri"/>
                <w:sz w:val="21"/>
                <w:szCs w:val="21"/>
              </w:rPr>
              <w:t xml:space="preserve">Für die Klasse ist der wichtigste Satz: melden statt selbst reparieren. Wer eine Panne in Eigenregie behebt, zerstört meist die Spuren, die für die Bewertung gebraucht werden.</w:t>
            </w:r>
          </w:p>
        </w:tc>
      </w:tr>
    </w:tbl>
    <w:p>
      <w:pPr>
        <w:spacing w:after="140"/>
      </w:pPr>
    </w:p>
    <w:p>
      <w:pPr>
        <w:pStyle w:val="Heading2"/>
        <w:spacing w:after="120" w:before="280"/>
      </w:pPr>
      <w:r>
        <w:rPr>
          <w:rFonts w:ascii="Calibri" w:cs="Calibri" w:eastAsia="Calibri" w:hAnsi="Calibri"/>
          <w:b/>
          <w:bCs/>
          <w:color w:val="0066AA"/>
          <w:sz w:val="26"/>
          <w:szCs w:val="26"/>
        </w:rPr>
        <w:t xml:space="preserve">6 Was das im Betrieb bedeutet</w:t>
      </w:r>
    </w:p>
    <w:p>
      <w:pPr>
        <w:pStyle w:val="ListParagraph"/>
        <w:numPr>
          <w:ilvl w:val="0"/>
          <w:numId w:val="2"/>
        </w:numPr>
        <w:spacing w:after="60"/>
      </w:pPr>
      <w:r>
        <w:rPr>
          <w:rFonts w:ascii="Calibri" w:cs="Calibri" w:eastAsia="Calibri" w:hAnsi="Calibri"/>
          <w:sz w:val="22"/>
          <w:szCs w:val="22"/>
        </w:rPr>
        <w:t xml:space="preserve">Zugangsdaten nicht teilen, Passwortmanager statt Notizzettel, Mehrfaktor-Anmeldung nutzen.</w:t>
      </w:r>
    </w:p>
    <w:p>
      <w:pPr>
        <w:pStyle w:val="ListParagraph"/>
        <w:numPr>
          <w:ilvl w:val="0"/>
          <w:numId w:val="2"/>
        </w:numPr>
        <w:spacing w:after="60"/>
      </w:pPr>
      <w:r>
        <w:rPr>
          <w:rFonts w:ascii="Calibri" w:cs="Calibri" w:eastAsia="Calibri" w:hAnsi="Calibri"/>
          <w:sz w:val="22"/>
          <w:szCs w:val="22"/>
        </w:rPr>
        <w:t xml:space="preserve">Bildschirm sperren, Unterlagen wegschließen, Besucher begleiten.</w:t>
      </w:r>
    </w:p>
    <w:p>
      <w:pPr>
        <w:pStyle w:val="ListParagraph"/>
        <w:numPr>
          <w:ilvl w:val="0"/>
          <w:numId w:val="2"/>
        </w:numPr>
        <w:spacing w:after="60"/>
      </w:pPr>
      <w:r>
        <w:rPr>
          <w:rFonts w:ascii="Calibri" w:cs="Calibri" w:eastAsia="Calibri" w:hAnsi="Calibri"/>
          <w:sz w:val="22"/>
          <w:szCs w:val="22"/>
        </w:rPr>
        <w:t xml:space="preserve">Nur die Daten ansehen, die für den Auftrag erforderlich sind.</w:t>
      </w:r>
    </w:p>
    <w:p>
      <w:pPr>
        <w:pStyle w:val="ListParagraph"/>
        <w:numPr>
          <w:ilvl w:val="0"/>
          <w:numId w:val="2"/>
        </w:numPr>
        <w:spacing w:after="60"/>
      </w:pPr>
      <w:r>
        <w:rPr>
          <w:rFonts w:ascii="Calibri" w:cs="Calibri" w:eastAsia="Calibri" w:hAnsi="Calibri"/>
          <w:sz w:val="22"/>
          <w:szCs w:val="22"/>
        </w:rPr>
        <w:t xml:space="preserve">Verdacht sofort melden – lieber einmal zu oft als einmal zu spät.</w:t>
      </w:r>
    </w:p>
    <w:p>
      <w:pPr>
        <w:pStyle w:val="ListParagraph"/>
        <w:numPr>
          <w:ilvl w:val="0"/>
          <w:numId w:val="2"/>
        </w:numPr>
        <w:spacing w:after="60"/>
      </w:pPr>
      <w:r>
        <w:rPr>
          <w:rFonts w:ascii="Calibri" w:cs="Calibri" w:eastAsia="Calibri" w:hAnsi="Calibri"/>
          <w:sz w:val="22"/>
          <w:szCs w:val="22"/>
        </w:rPr>
        <w:t xml:space="preserve">Keine Kundendaten in private Werkzeuge, Messenger oder Cloud-Dienste kopieren.</w:t>
      </w:r>
    </w:p>
    <w:p>
      <w:pPr>
        <w:pStyle w:val="ListParagraph"/>
        <w:numPr>
          <w:ilvl w:val="0"/>
          <w:numId w:val="2"/>
        </w:numPr>
        <w:spacing w:after="60"/>
      </w:pPr>
      <w:r>
        <w:rPr>
          <w:rFonts w:ascii="Calibri" w:cs="Calibri" w:eastAsia="Calibri" w:hAnsi="Calibri"/>
          <w:sz w:val="22"/>
          <w:szCs w:val="22"/>
        </w:rPr>
        <w:t xml:space="preserve">Fernwartung nur im vereinbarten Umfang, Sitzungen sauber beenden und protokollieren.</w:t>
      </w:r>
    </w:p>
    <w:p>
      <w:pPr>
        <w:pStyle w:val="Heading2"/>
        <w:spacing w:after="120" w:before="280"/>
      </w:pPr>
      <w:r>
        <w:rPr>
          <w:rFonts w:ascii="Calibri" w:cs="Calibri" w:eastAsia="Calibri" w:hAnsi="Calibri"/>
          <w:b/>
          <w:bCs/>
          <w:color w:val="0066AA"/>
          <w:sz w:val="26"/>
          <w:szCs w:val="26"/>
        </w:rPr>
        <w:t xml:space="preserve">7 Kurzcheck</w:t>
      </w:r>
    </w:p>
    <w:p>
      <w:pPr>
        <w:pStyle w:val="ListParagraph"/>
        <w:numPr>
          <w:ilvl w:val="0"/>
          <w:numId w:val="2"/>
        </w:numPr>
        <w:spacing w:after="60"/>
      </w:pPr>
      <w:r>
        <w:rPr>
          <w:rFonts w:ascii="Calibri" w:cs="Calibri" w:eastAsia="Calibri" w:hAnsi="Calibri"/>
          <w:sz w:val="22"/>
          <w:szCs w:val="22"/>
        </w:rPr>
        <w:t xml:space="preserve">Ich kann die Schutzziele erklären und Maßnahmen zuordnen.</w:t>
      </w:r>
    </w:p>
    <w:p>
      <w:pPr>
        <w:pStyle w:val="ListParagraph"/>
        <w:numPr>
          <w:ilvl w:val="0"/>
          <w:numId w:val="2"/>
        </w:numPr>
        <w:spacing w:after="60"/>
      </w:pPr>
      <w:r>
        <w:rPr>
          <w:rFonts w:ascii="Calibri" w:cs="Calibri" w:eastAsia="Calibri" w:hAnsi="Calibri"/>
          <w:sz w:val="22"/>
          <w:szCs w:val="22"/>
        </w:rPr>
        <w:t xml:space="preserve">Ich kann sechs Angriffsarten unterscheiden.</w:t>
      </w:r>
    </w:p>
    <w:p>
      <w:pPr>
        <w:pStyle w:val="ListParagraph"/>
        <w:numPr>
          <w:ilvl w:val="0"/>
          <w:numId w:val="2"/>
        </w:numPr>
        <w:spacing w:after="60"/>
      </w:pPr>
      <w:r>
        <w:rPr>
          <w:rFonts w:ascii="Calibri" w:cs="Calibri" w:eastAsia="Calibri" w:hAnsi="Calibri"/>
          <w:sz w:val="22"/>
          <w:szCs w:val="22"/>
        </w:rPr>
        <w:t xml:space="preserve">Ich kann erklären, warum Social Engineering so wirksam ist, und Gegenmaßnahmen nennen.</w:t>
      </w:r>
    </w:p>
    <w:p>
      <w:pPr>
        <w:pStyle w:val="ListParagraph"/>
        <w:numPr>
          <w:ilvl w:val="0"/>
          <w:numId w:val="2"/>
        </w:numPr>
        <w:spacing w:after="60"/>
      </w:pPr>
      <w:r>
        <w:rPr>
          <w:rFonts w:ascii="Calibri" w:cs="Calibri" w:eastAsia="Calibri" w:hAnsi="Calibri"/>
          <w:sz w:val="22"/>
          <w:szCs w:val="22"/>
        </w:rPr>
        <w:t xml:space="preserve">Ich kann Maßnahmen den drei Kategorien zuordnen.</w:t>
      </w:r>
    </w:p>
    <w:p>
      <w:pPr>
        <w:pStyle w:val="ListParagraph"/>
        <w:numPr>
          <w:ilvl w:val="0"/>
          <w:numId w:val="2"/>
        </w:numPr>
        <w:spacing w:after="60"/>
      </w:pPr>
      <w:r>
        <w:rPr>
          <w:rFonts w:ascii="Calibri" w:cs="Calibri" w:eastAsia="Calibri" w:hAnsi="Calibri"/>
          <w:sz w:val="22"/>
          <w:szCs w:val="22"/>
        </w:rPr>
        <w:t xml:space="preserve">Ich kann die Regel drei – zwei – eins erklären.</w:t>
      </w:r>
    </w:p>
    <w:p>
      <w:pPr>
        <w:pStyle w:val="ListParagraph"/>
        <w:numPr>
          <w:ilvl w:val="0"/>
          <w:numId w:val="2"/>
        </w:numPr>
        <w:spacing w:after="60"/>
      </w:pPr>
      <w:r>
        <w:rPr>
          <w:rFonts w:ascii="Calibri" w:cs="Calibri" w:eastAsia="Calibri" w:hAnsi="Calibri"/>
          <w:sz w:val="22"/>
          <w:szCs w:val="22"/>
        </w:rPr>
        <w:t xml:space="preserve">Ich kann Datenschutz und Datensicherheit abgrenzen.</w:t>
      </w:r>
    </w:p>
    <w:p>
      <w:pPr>
        <w:pStyle w:val="ListParagraph"/>
        <w:numPr>
          <w:ilvl w:val="0"/>
          <w:numId w:val="2"/>
        </w:numPr>
        <w:spacing w:after="60"/>
      </w:pPr>
      <w:r>
        <w:rPr>
          <w:rFonts w:ascii="Calibri" w:cs="Calibri" w:eastAsia="Calibri" w:hAnsi="Calibri"/>
          <w:sz w:val="22"/>
          <w:szCs w:val="22"/>
        </w:rPr>
        <w:t xml:space="preserve">Ich kann die Grundsätze der DSGVO und die Betroffenenrechte benennen.</w:t>
      </w:r>
    </w:p>
    <w:p>
      <w:pPr>
        <w:pStyle w:val="ListParagraph"/>
        <w:numPr>
          <w:ilvl w:val="0"/>
          <w:numId w:val="2"/>
        </w:numPr>
        <w:spacing w:after="60"/>
      </w:pPr>
      <w:r>
        <w:rPr>
          <w:rFonts w:ascii="Calibri" w:cs="Calibri" w:eastAsia="Calibri" w:hAnsi="Calibri"/>
          <w:sz w:val="22"/>
          <w:szCs w:val="22"/>
        </w:rPr>
        <w:t xml:space="preserve">Ich kann das Vorgehen bei einer Datenpanne beschreiben.</w:t>
      </w:r>
    </w:p>
    <w:p>
      <w:pPr>
        <w:pStyle w:val="ListParagraph"/>
        <w:numPr>
          <w:ilvl w:val="0"/>
          <w:numId w:val="2"/>
        </w:numPr>
        <w:spacing w:after="60"/>
      </w:pPr>
      <w:r>
        <w:rPr>
          <w:rFonts w:ascii="Calibri" w:cs="Calibri" w:eastAsia="Calibri" w:hAnsi="Calibri"/>
          <w:sz w:val="22"/>
          <w:szCs w:val="22"/>
        </w:rPr>
        <w:t xml:space="preserve">Ich kann erklären, was Auftragsverarbeitung im Systemhaus bedeutet.</w:t>
      </w:r>
    </w:p>
    <w:p>
      <w:pPr>
        <w:pStyle w:val="Heading2"/>
        <w:spacing w:after="120" w:before="280"/>
      </w:pPr>
      <w:r>
        <w:rPr>
          <w:rFonts w:ascii="Calibri" w:cs="Calibri" w:eastAsia="Calibri" w:hAnsi="Calibri"/>
          <w:b/>
          <w:bCs/>
          <w:color w:val="0066AA"/>
          <w:sz w:val="26"/>
          <w:szCs w:val="26"/>
        </w:rPr>
        <w:t xml:space="preserve">8 Begriffe dieser Lerneinheit</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400"/>
        <w:gridCol w:w="6620"/>
      </w:tblGrid>
      <w:tr>
        <w:trPr>
          <w:tblHeader/>
        </w:trPr>
        <w:tc>
          <w:tcPr>
            <w:tcW w:type="dxa" w:w="24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Begriff</w:t>
            </w:r>
          </w:p>
        </w:tc>
        <w:tc>
          <w:tcPr>
            <w:tcW w:type="dxa" w:w="66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Erklärung</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Auftragsverarbeitung</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Verarbeitung personenbezogener Daten im Auftrag eines Verantwortlichen, vertraglich geregelt</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Authentizität</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Echtheit und Zuordenbarkeit eines Absenders oder Nutzers</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Datenminimierung</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Nur so viele Daten verarbeiten wie für den Zweck erforderlich</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Datenpanne</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Verletzung des Schutzes personenbezogener Daten</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Datenschutz</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Schutz personenbezogener Daten und damit des Persönlichkeitsrechts</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Datensicherheit</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Schutz aller Daten vor Verlust, Veränderung und unbefugtem Zugriff</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DDoS</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Überlastungsangriff durch verteilte Massenanfragen</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Integrität</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Unversehrtheit und Vollständigkeit von Daten</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Phishing</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Abfrage von Zugangsdaten über gefälschte Nachrichten oder Seiten</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Ransomware</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Schadsoftware, die Daten verschlüsselt und Lösegeld fordert</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Social Engineering</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Täuschung von Menschen statt Überwindung von Technik</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TOM</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Technische und organisatorische Maßnahmen zum Schutz von Daten</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Verarbeitungsverzeichnis</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Dokumentierte Übersicht aller Verarbeitungstätigkeiten</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Verfügbarkeit</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Nutzbarkeit von Daten und Systemen bei Bedarf</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Vertraulichkeit</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Zugriff nur für Berechtigte</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Zweckbindung</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Verwendung der Daten nur für den festgelegten Zweck</w:t>
            </w:r>
          </w:p>
        </w:tc>
      </w:tr>
    </w:tbl>
    <w:p>
      <w:pPr>
        <w:spacing w:after="140"/>
      </w:pP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8"/>
        <w:szCs w:val="18"/>
      </w:rPr>
      <w:t xml:space="preserve">bfw Lübeck · Handout LE 04 · Seite </w:t>
    </w:r>
    <w:r>
      <w:rPr>
        <w:rFonts w:ascii="Calibri" w:cs="Calibri" w:eastAsia="Calibri" w:hAnsi="Calibri"/>
        <w:color w:val="666666"/>
        <w:sz w:val="18"/>
        <w:szCs w:val="18"/>
      </w:rPr>
      <w:fldChar w:fldCharType="begin"/>
      <w:instrText xml:space="preserve">PAGE</w:instrText>
      <w:fldChar w:fldCharType="separate"/>
      <w:fldChar w:fldCharType="end"/>
    </w:r>
    <w:r>
      <w:rPr>
        <w:rFonts w:ascii="Calibri" w:cs="Calibri" w:eastAsia="Calibri" w:hAnsi="Calibri"/>
        <w:color w:val="666666"/>
        <w:sz w:val="18"/>
        <w:szCs w:val="18"/>
      </w:rPr>
      <w:t xml:space="preserve"> von </w:t>
    </w:r>
    <w:r>
      <w:rPr>
        <w:rFonts w:ascii="Calibri" w:cs="Calibri" w:eastAsia="Calibri" w:hAnsi="Calibri"/>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6" w:space="4"/>
      </w:pBdr>
      <w:jc w:val="right"/>
    </w:pPr>
    <w:r>
      <w:rPr>
        <w:rFonts w:ascii="Calibri" w:cs="Calibri" w:eastAsia="Calibri" w:hAnsi="Calibri"/>
        <w:color w:val="0066AA"/>
        <w:sz w:val="18"/>
        <w:szCs w:val="18"/>
      </w:rPr>
      <w:t xml:space="preserve">Modul A · LE 04 – Informationssicherheit und Datenschutz</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0066AA"/>
      </w:rPr>
    </w:lvl>
    <w:lvl w:ilvl="1" w15:tentative="1">
      <w:start w:val="1"/>
      <w:numFmt w:val="bullet"/>
      <w:lvlText w:val="◦"/>
      <w:lvlJc w:val="left"/>
      <w:pPr>
        <w:ind w:left="720" w:hanging="260"/>
      </w:pPr>
    </w:lvl>
  </w:abstractNum>
  <w:abstractNum w:abstractNumId="3" w15:restartNumberingAfterBreak="0">
    <w:multiLevelType w:val="hybridMultilevel"/>
    <w:lvl w:ilvl="0" w15:tentative="1">
      <w:start w:val="1"/>
      <w:numFmt w:val="decimal"/>
      <w:lvlText w:val="%1."/>
      <w:lvlJc w:val="left"/>
      <w:pPr>
        <w:ind w:left="400" w:hanging="300"/>
      </w:pPr>
      <w:rPr>
        <w:b/>
        <w:bCs/>
        <w:color w:val="003366"/>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A · LE 04 – Handout</dc:title>
  <dc:creator>bfw Lübeck</dc:creator>
  <cp:lastModifiedBy>Un-named</cp:lastModifiedBy>
  <cp:revision>1</cp:revision>
  <dcterms:created xsi:type="dcterms:W3CDTF">2026-08-04T10:39:51.368Z</dcterms:created>
  <dcterms:modified xsi:type="dcterms:W3CDTF">2026-08-04T10:39:51.379Z</dcterms:modified>
</cp:coreProperties>
</file>

<file path=docProps/custom.xml><?xml version="1.0" encoding="utf-8"?>
<Properties xmlns="http://schemas.openxmlformats.org/officeDocument/2006/custom-properties" xmlns:vt="http://schemas.openxmlformats.org/officeDocument/2006/docPropsVTypes"/>
</file>