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Bdr>
          <w:bottom w:val="single" w:color="F0A500" w:sz="12" w:space="4"/>
        </w:pBdr>
        <w:spacing w:after="200" w:before="120"/>
      </w:pPr>
      <w:r>
        <w:rPr>
          <w:rFonts w:ascii="Calibri" w:cs="Calibri" w:eastAsia="Calibri" w:hAnsi="Calibri"/>
          <w:b/>
          <w:bCs/>
          <w:color w:val="003366"/>
          <w:sz w:val="34"/>
          <w:szCs w:val="34"/>
        </w:rPr>
        <w:t xml:space="preserve">LE 03 – Aufgaben</w:t>
      </w:r>
    </w:p>
    <w:p>
      <w:pPr>
        <w:spacing w:after="120"/>
      </w:pPr>
      <w:r>
        <w:rPr>
          <w:rFonts w:ascii="Calibri" w:cs="Calibri" w:eastAsia="Calibri" w:hAnsi="Calibri"/>
          <w:b/>
          <w:bCs/>
          <w:i w:val="false"/>
          <w:iCs w:val="false"/>
          <w:color w:val="0066AA"/>
          <w:sz w:val="22"/>
          <w:szCs w:val="22"/>
        </w:rPr>
        <w:t xml:space="preserve">Modul A – Der Betrieb und sein Umfeld · Lernfeld 1</w:t>
      </w:r>
    </w:p>
    <w:tbl>
      <w:tblPr>
        <w:tblW w:type="dxa" w:w="9020"/>
        <w:tblBorders>
          <w:top w:val="single" w:color="D6E4F0" w:sz="4"/>
          <w:left w:val="single" w:color="D6E4F0" w:sz="4"/>
          <w:bottom w:val="single" w:color="D6E4F0" w:sz="4"/>
          <w:right w:val="single" w:color="D6E4F0" w:sz="4"/>
          <w:insideH w:val="single" w:color="D6E4F0" w:sz="2"/>
          <w:insideV w:val="single" w:color="D6E4F0" w:sz="2"/>
        </w:tblBorders>
        <w:tblLayout w:type="fixed"/>
      </w:tblPr>
      <w:tblGrid>
        <w:gridCol w:w="4000"/>
        <w:gridCol w:w="2500"/>
        <w:gridCol w:w="2520"/>
      </w:tblGrid>
      <w:tr>
        <w:trPr>
          <w:tblHeader/>
        </w:trPr>
        <w:tc>
          <w:tcPr>
            <w:tcW w:type="dxa" w:w="40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Name</w:t>
            </w:r>
          </w:p>
        </w:tc>
        <w:tc>
          <w:tcPr>
            <w:tcW w:type="dxa" w:w="250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Datum</w:t>
            </w:r>
          </w:p>
        </w:tc>
        <w:tc>
          <w:tcPr>
            <w:tcW w:type="dxa" w:w="2520"/>
            <w:shd w:fill="003366" w:color="auto" w:val="clear"/>
            <w:tcMar>
              <w:top w:type="dxa" w:w="60"/>
              <w:left w:type="dxa" w:w="90"/>
              <w:bottom w:type="dxa" w:w="60"/>
              <w:right w:type="dxa" w:w="90"/>
            </w:tcMar>
          </w:tcPr>
          <w:p>
            <w:pPr>
              <w:spacing w:after="0"/>
            </w:pPr>
            <w:r>
              <w:rPr>
                <w:rFonts w:ascii="Calibri" w:cs="Calibri" w:eastAsia="Calibri" w:hAnsi="Calibri"/>
                <w:b/>
                <w:bCs/>
                <w:color w:val="FFFFFF"/>
                <w:sz w:val="20"/>
                <w:szCs w:val="20"/>
              </w:rPr>
              <w:t xml:space="preserve">Punkte</w:t>
            </w:r>
          </w:p>
        </w:tc>
      </w:tr>
      <w:tr>
        <w:tc>
          <w:tcPr>
            <w:tcW w:type="dxa" w:w="40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c>
          <w:tcPr>
            <w:tcW w:type="dxa" w:w="250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w:r>
          </w:p>
        </w:tc>
        <w:tc>
          <w:tcPr>
            <w:tcW w:type="dxa" w:w="2520"/>
            <w:shd w:fill="FFFFFF" w:color="auto" w:val="clear"/>
            <w:tcMar>
              <w:top w:type="dxa" w:w="60"/>
              <w:left w:type="dxa" w:w="90"/>
              <w:bottom w:type="dxa" w:w="60"/>
              <w:right w:type="dxa" w:w="90"/>
            </w:tcMar>
          </w:tcPr>
          <w:p>
            <w:pPr>
              <w:spacing w:after="0"/>
            </w:pPr>
            <w:r>
              <w:rPr>
                <w:rFonts w:ascii="Calibri" w:cs="Calibri" w:eastAsia="Calibri" w:hAnsi="Calibri"/>
                <w:b w:val="false"/>
                <w:bCs w:val="false"/>
                <w:color w:val="1A1A1A"/>
                <w:sz w:val="20"/>
                <w:szCs w:val="20"/>
              </w:rPr>
              <w:t xml:space="preserve">        / 40</w:t>
            </w:r>
          </w:p>
        </w:tc>
      </w:tr>
    </w:tbl>
    <w:p>
      <w:pPr>
        <w:spacing w:after="140"/>
      </w:pPr>
    </w:p>
    <w:p>
      <w:pPr>
        <w:spacing w:after="120"/>
      </w:pPr>
      <w:r>
        <w:rPr>
          <w:rFonts w:ascii="Calibri" w:cs="Calibri" w:eastAsia="Calibri" w:hAnsi="Calibri"/>
          <w:b w:val="false"/>
          <w:bCs w:val="false"/>
          <w:i/>
          <w:iCs/>
          <w:color w:val="1A1A1A"/>
          <w:sz w:val="22"/>
          <w:szCs w:val="22"/>
        </w:rPr>
        <w:t xml:space="preserve">Bearbeitungszeit: 45 Minuten. Aufgaben 1 bis 5 in Einzelarbeit, Aufgabe 6 in Partnerarbeit. Taschenrechner erlaubt, der Rechenweg gehört zur Lösung. Die Musterlösungen liegen separat vor.</w:t>
      </w:r>
    </w:p>
    <w:p>
      <w:pPr>
        <w:pStyle w:val="Heading2"/>
        <w:spacing w:after="120" w:before="280"/>
      </w:pPr>
      <w:r>
        <w:rPr>
          <w:rFonts w:ascii="Calibri" w:cs="Calibri" w:eastAsia="Calibri" w:hAnsi="Calibri"/>
          <w:b/>
          <w:bCs/>
          <w:color w:val="0066AA"/>
          <w:sz w:val="26"/>
          <w:szCs w:val="26"/>
        </w:rPr>
        <w:t xml:space="preserve">Aufgabe 1 – Qualität und Qualitätskosten (6 Punkte)</w:t>
      </w:r>
    </w:p>
    <w:p>
      <w:pPr>
        <w:spacing w:after="120"/>
      </w:pPr>
      <w:r>
        <w:rPr>
          <w:rFonts w:ascii="Calibri" w:cs="Calibri" w:eastAsia="Calibri" w:hAnsi="Calibri"/>
          <w:b w:val="false"/>
          <w:bCs w:val="false"/>
          <w:i w:val="false"/>
          <w:iCs w:val="false"/>
          <w:color w:val="1A1A1A"/>
          <w:sz w:val="22"/>
          <w:szCs w:val="22"/>
        </w:rPr>
        <w:t xml:space="preserve">a) Erklären Sie in zwei Sätzen, warum ein Server mit doppelter Leistung, den der Kunde nicht bestellt hat, kein Qualitätsgewinn ist. b) Ordnen Sie den drei Qualitätskostenarten zu: Schulung neuer Servicetechniker, Vertragsstrafe wegen überschrittener Reaktionszeit, Abnahmetest vor der Übergabe, Nacharbeit nach fehlerhafter Konfiguration, internes Audit, Checkliste für das Server-Setup.</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2 – TQM (5 Punkte)</w:t>
      </w:r>
    </w:p>
    <w:p>
      <w:pPr>
        <w:spacing w:after="120"/>
      </w:pPr>
      <w:r>
        <w:rPr>
          <w:rFonts w:ascii="Calibri" w:cs="Calibri" w:eastAsia="Calibri" w:hAnsi="Calibri"/>
          <w:b w:val="false"/>
          <w:bCs w:val="false"/>
          <w:i w:val="false"/>
          <w:iCs w:val="false"/>
          <w:color w:val="1A1A1A"/>
          <w:sz w:val="22"/>
          <w:szCs w:val="22"/>
        </w:rPr>
        <w:t xml:space="preserve">Nennen und erklären Sie vier Prinzipien des TQM. Geben Sie zu einem Prinzip ein Beispiel aus einem IT-Systemhaus.</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3 – Ursachenanalyse (7 Punkte)</w:t>
      </w:r>
    </w:p>
    <w:p>
      <w:pPr>
        <w:spacing w:after="120"/>
      </w:pPr>
      <w:r>
        <w:rPr>
          <w:rFonts w:ascii="Calibri" w:cs="Calibri" w:eastAsia="Calibri" w:hAnsi="Calibri"/>
          <w:b w:val="false"/>
          <w:bCs w:val="false"/>
          <w:i w:val="false"/>
          <w:iCs w:val="false"/>
          <w:color w:val="1A1A1A"/>
          <w:sz w:val="22"/>
          <w:szCs w:val="22"/>
        </w:rPr>
        <w:t xml:space="preserve">Ein Kunde meldet zum dritten Mal in vier Wochen, dass seine Datensicherung nicht durchgelaufen ist. Der Techniker startet den Sicherungsauftrag jedes Mal manuell nach.</w:t>
      </w:r>
    </w:p>
    <w:p>
      <w:pPr>
        <w:pStyle w:val="ListParagraph"/>
        <w:numPr>
          <w:ilvl w:val="0"/>
          <w:numId w:val="2"/>
        </w:numPr>
        <w:spacing w:after="60"/>
      </w:pPr>
      <w:r>
        <w:rPr>
          <w:rFonts w:ascii="Calibri" w:cs="Calibri" w:eastAsia="Calibri" w:hAnsi="Calibri"/>
          <w:sz w:val="22"/>
          <w:szCs w:val="22"/>
        </w:rPr>
        <w:t xml:space="preserve">Führen Sie eine Analyse mit den fünf Warum durch (plausible Annahmen sind erlaubt).</w:t>
      </w:r>
    </w:p>
    <w:p>
      <w:pPr>
        <w:pStyle w:val="ListParagraph"/>
        <w:numPr>
          <w:ilvl w:val="0"/>
          <w:numId w:val="2"/>
        </w:numPr>
        <w:spacing w:after="60"/>
      </w:pPr>
      <w:r>
        <w:rPr>
          <w:rFonts w:ascii="Calibri" w:cs="Calibri" w:eastAsia="Calibri" w:hAnsi="Calibri"/>
          <w:sz w:val="22"/>
          <w:szCs w:val="22"/>
        </w:rPr>
        <w:t xml:space="preserve">Benennen Sie die Ursache und die Maßnahme, die dort ansetzt.</w:t>
      </w:r>
    </w:p>
    <w:p>
      <w:pPr>
        <w:pStyle w:val="ListParagraph"/>
        <w:numPr>
          <w:ilvl w:val="0"/>
          <w:numId w:val="2"/>
        </w:numPr>
        <w:spacing w:after="60"/>
      </w:pPr>
      <w:r>
        <w:rPr>
          <w:rFonts w:ascii="Calibri" w:cs="Calibri" w:eastAsia="Calibri" w:hAnsi="Calibri"/>
          <w:sz w:val="22"/>
          <w:szCs w:val="22"/>
        </w:rPr>
        <w:t xml:space="preserve">Erklären Sie, warum das manuelle Nachstarten keine Lösung ist.</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4 – PDCA (6 Punkte)</w:t>
      </w:r>
    </w:p>
    <w:p>
      <w:pPr>
        <w:spacing w:after="120"/>
      </w:pPr>
      <w:r>
        <w:rPr>
          <w:rFonts w:ascii="Calibri" w:cs="Calibri" w:eastAsia="Calibri" w:hAnsi="Calibri"/>
          <w:b w:val="false"/>
          <w:bCs w:val="false"/>
          <w:i w:val="false"/>
          <w:iCs w:val="false"/>
          <w:color w:val="1A1A1A"/>
          <w:sz w:val="22"/>
          <w:szCs w:val="22"/>
        </w:rPr>
        <w:t xml:space="preserve">Die Wiederöffnungsquote im Helpdesk liegt bei 18 %, Zielwert sind 8 %. Beschreiben Sie für diesen Fall alle vier Phasen des PDCA-Zyklus mit je einer konkreten Maßnahme oder Messung.</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5 – Kennzahlen und Normen (10 Punkte)</w:t>
      </w:r>
    </w:p>
    <w:p>
      <w:pPr>
        <w:spacing w:after="120"/>
      </w:pPr>
      <w:r>
        <w:rPr>
          <w:rFonts w:ascii="Calibri" w:cs="Calibri" w:eastAsia="Calibri" w:hAnsi="Calibri"/>
          <w:b w:val="false"/>
          <w:bCs w:val="false"/>
          <w:i w:val="false"/>
          <w:iCs w:val="false"/>
          <w:color w:val="1A1A1A"/>
          <w:sz w:val="22"/>
          <w:szCs w:val="22"/>
        </w:rPr>
        <w:t xml:space="preserve">Der Helpdesk der KONTURA IT-Solutions bearbeitet in einem Monat 640 Tickets. 416 davon werden im Erstkontakt gelöst, 48 abgeschlossene Tickets werden später wieder geöffnet. Für 12 Störungen betrug die Behebungszeit zusammen 30 Stunden.</w:t>
      </w:r>
    </w:p>
    <w:p>
      <w:pPr>
        <w:pStyle w:val="ListParagraph"/>
        <w:numPr>
          <w:ilvl w:val="0"/>
          <w:numId w:val="2"/>
        </w:numPr>
        <w:spacing w:after="60"/>
      </w:pPr>
      <w:r>
        <w:rPr>
          <w:rFonts w:ascii="Calibri" w:cs="Calibri" w:eastAsia="Calibri" w:hAnsi="Calibri"/>
          <w:sz w:val="22"/>
          <w:szCs w:val="22"/>
        </w:rPr>
        <w:t xml:space="preserve">Berechnen Sie die Erstlösungsquote.</w:t>
      </w:r>
    </w:p>
    <w:p>
      <w:pPr>
        <w:pStyle w:val="ListParagraph"/>
        <w:numPr>
          <w:ilvl w:val="0"/>
          <w:numId w:val="2"/>
        </w:numPr>
        <w:spacing w:after="60"/>
      </w:pPr>
      <w:r>
        <w:rPr>
          <w:rFonts w:ascii="Calibri" w:cs="Calibri" w:eastAsia="Calibri" w:hAnsi="Calibri"/>
          <w:sz w:val="22"/>
          <w:szCs w:val="22"/>
        </w:rPr>
        <w:t xml:space="preserve">Berechnen Sie die Wiederöffnungsquote.</w:t>
      </w:r>
    </w:p>
    <w:p>
      <w:pPr>
        <w:pStyle w:val="ListParagraph"/>
        <w:numPr>
          <w:ilvl w:val="0"/>
          <w:numId w:val="2"/>
        </w:numPr>
        <w:spacing w:after="60"/>
      </w:pPr>
      <w:r>
        <w:rPr>
          <w:rFonts w:ascii="Calibri" w:cs="Calibri" w:eastAsia="Calibri" w:hAnsi="Calibri"/>
          <w:sz w:val="22"/>
          <w:szCs w:val="22"/>
        </w:rPr>
        <w:t xml:space="preserve">Berechnen Sie die durchschnittliche Behebungszeit (MTTR).</w:t>
      </w:r>
    </w:p>
    <w:p>
      <w:pPr>
        <w:pStyle w:val="ListParagraph"/>
        <w:numPr>
          <w:ilvl w:val="0"/>
          <w:numId w:val="2"/>
        </w:numPr>
        <w:spacing w:after="60"/>
      </w:pPr>
      <w:r>
        <w:rPr>
          <w:rFonts w:ascii="Calibri" w:cs="Calibri" w:eastAsia="Calibri" w:hAnsi="Calibri"/>
          <w:sz w:val="22"/>
          <w:szCs w:val="22"/>
        </w:rPr>
        <w:t xml:space="preserve">Der Zielwert der Erstlösungsquote liegt bei 70 %. Bewerten Sie das Ergebnis in einem Satz.</w:t>
      </w:r>
    </w:p>
    <w:p>
      <w:pPr>
        <w:pStyle w:val="ListParagraph"/>
        <w:numPr>
          <w:ilvl w:val="0"/>
          <w:numId w:val="2"/>
        </w:numPr>
        <w:spacing w:after="60"/>
      </w:pPr>
      <w:r>
        <w:rPr>
          <w:rFonts w:ascii="Calibri" w:cs="Calibri" w:eastAsia="Calibri" w:hAnsi="Calibri"/>
          <w:sz w:val="22"/>
          <w:szCs w:val="22"/>
        </w:rPr>
        <w:t xml:space="preserve">Ordnen Sie zu: ISO 9001, ISO 14001, ISO 45001, ISO 50001, ISO/IEC 27001, ISO/IEC 27701.</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p>
      <w:pPr>
        <w:pStyle w:val="Heading2"/>
        <w:spacing w:after="120" w:before="280"/>
      </w:pPr>
      <w:r>
        <w:rPr>
          <w:rFonts w:ascii="Calibri" w:cs="Calibri" w:eastAsia="Calibri" w:hAnsi="Calibri"/>
          <w:b/>
          <w:bCs/>
          <w:color w:val="0066AA"/>
          <w:sz w:val="26"/>
          <w:szCs w:val="26"/>
        </w:rPr>
        <w:t xml:space="preserve">Aufgabe 6 – Partnerarbeit: Ursache-Wirkungs-Diagramm (6 Punkte)</w:t>
      </w:r>
    </w:p>
    <w:p>
      <w:pPr>
        <w:spacing w:after="120"/>
      </w:pPr>
      <w:r>
        <w:rPr>
          <w:rFonts w:ascii="Calibri" w:cs="Calibri" w:eastAsia="Calibri" w:hAnsi="Calibri"/>
          <w:b w:val="false"/>
          <w:bCs w:val="false"/>
          <w:i w:val="false"/>
          <w:iCs w:val="false"/>
          <w:color w:val="1A1A1A"/>
          <w:sz w:val="22"/>
          <w:szCs w:val="22"/>
        </w:rPr>
        <w:t xml:space="preserve">Problem: Die Reaktionszeit im Helpdesk hat sich seit zwei Monaten verdoppelt. Erstellen Sie zu zweit ein Ursache-Wirkungs-Diagramm mit den fünf Kategorien und mindestens einer Ursache je Kategorie. Wählen Sie anschließend die wahrscheinlichste Ursache aus und begründen Sie Ihre Wahl. Stellen Sie das Ergebnis in zwei Minuten vor.</w:t>
      </w:r>
    </w:p>
    <w:tbl>
      <w:tblPr>
        <w:tblW w:type="dxa" w:w="9020"/>
        <w:tblBorders>
          <w:top w:val="none"/>
          <w:left w:val="none"/>
          <w:bottom w:val="none"/>
          <w:right w:val="none"/>
          <w:insideH w:val="single" w:color="B0B0B0" w:sz="4"/>
          <w:insideV w:val="none"/>
        </w:tblBorders>
        <w:tblLayout w:type="fixed"/>
      </w:tblPr>
      <w:tblGrid>
        <w:gridCol w:w="9020"/>
      </w:tblGrid>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r>
        <w:trPr>
          <w:trHeight w:val="400" w:hRule="atLeast"/>
        </w:trPr>
        <w:tc>
          <w:tcPr>
            <w:tcW w:type="dxa" w:w="9020"/>
            <w:tcBorders>
              <w:top w:val="none"/>
              <w:left w:val="none"/>
              <w:bottom w:val="single" w:color="B0B0B0" w:sz="4"/>
              <w:right w:val="none"/>
            </w:tcBorders>
            <w:tcMar>
              <w:top w:type="dxa" w:w="0"/>
              <w:left w:type="dxa" w:w="0"/>
              <w:bottom w:type="dxa" w:w="0"/>
              <w:right w:type="dxa" w:w="0"/>
            </w:tcMar>
          </w:tcPr>
          <w:p>
            <w:pPr>
              <w:spacing w:after="0"/>
            </w:pPr>
          </w:p>
        </w:tc>
      </w:tr>
    </w:tbl>
    <w:p>
      <w:pPr>
        <w:spacing w:after="200"/>
      </w:pP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8"/>
        <w:szCs w:val="18"/>
      </w:rPr>
      <w:t xml:space="preserve">bfw Lübeck · Aufgaben LE 03 ·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jc w:val="right"/>
    </w:pPr>
    <w:r>
      <w:rPr>
        <w:rFonts w:ascii="Calibri" w:cs="Calibri" w:eastAsia="Calibri" w:hAnsi="Calibri"/>
        <w:color w:val="0066AA"/>
        <w:sz w:val="18"/>
        <w:szCs w:val="18"/>
      </w:rPr>
      <w:t xml:space="preserve">Modul A · LE 03 – Aufgaben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0066AA"/>
      </w:rPr>
    </w:lvl>
    <w:lvl w:ilvl="1" w15:tentative="1">
      <w:start w:val="1"/>
      <w:numFmt w:val="bullet"/>
      <w:lvlText w:val="◦"/>
      <w:lvlJc w:val="left"/>
      <w:pPr>
        <w:ind w:left="720" w:hanging="260"/>
      </w:pPr>
    </w:lvl>
  </w:abstractNum>
  <w:abstractNum w:abstractNumId="3" w15:restartNumberingAfterBreak="0">
    <w:multiLevelType w:val="hybridMultilevel"/>
    <w:lvl w:ilvl="0" w15:tentative="1">
      <w:start w:val="1"/>
      <w:numFmt w:val="decimal"/>
      <w:lvlText w:val="%1."/>
      <w:lvlJc w:val="left"/>
      <w:pPr>
        <w:ind w:left="400" w:hanging="300"/>
      </w:pPr>
      <w:rPr>
        <w:b/>
        <w:bCs/>
        <w:color w:val="003366"/>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A · LE 03 – Aufgaben</dc:title>
  <dc:creator>bfw Lübeck</dc:creator>
  <cp:lastModifiedBy>Un-named</cp:lastModifiedBy>
  <cp:revision>1</cp:revision>
  <dcterms:created xsi:type="dcterms:W3CDTF">2026-08-04T10:34:20.292Z</dcterms:created>
  <dcterms:modified xsi:type="dcterms:W3CDTF">2026-08-04T10:34:20.293Z</dcterms:modified>
</cp:coreProperties>
</file>

<file path=docProps/custom.xml><?xml version="1.0" encoding="utf-8"?>
<Properties xmlns="http://schemas.openxmlformats.org/officeDocument/2006/custom-properties" xmlns:vt="http://schemas.openxmlformats.org/officeDocument/2006/docPropsVTypes"/>
</file>