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01 – Der Ausbildungsbetrieb und sein Umfeld</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Enthält den vollständigen Text zu den Folien, Tabellen zum Nachschlagen und die Merksätze.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 Rechtsangaben nach dem Stand August 2026; statistische Werte sind als solche gekennzeichnet.</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Ein IT-Unternehmen strukturiert vorstellen: Größe, Kunden, Leistungen, Ausbildung.</w:t>
      </w:r>
    </w:p>
    <w:p>
      <w:pPr>
        <w:pStyle w:val="ListParagraph"/>
        <w:numPr>
          <w:ilvl w:val="0"/>
          <w:numId w:val="2"/>
        </w:numPr>
        <w:spacing w:after="60"/>
      </w:pPr>
      <w:r>
        <w:rPr>
          <w:rFonts w:ascii="Calibri" w:cs="Calibri" w:eastAsia="Calibri" w:hAnsi="Calibri"/>
          <w:sz w:val="22"/>
          <w:szCs w:val="22"/>
        </w:rPr>
        <w:t xml:space="preserve">Betrieb und Unternehmen unterscheiden und Beispiele zuordnen.</w:t>
      </w:r>
    </w:p>
    <w:p>
      <w:pPr>
        <w:pStyle w:val="ListParagraph"/>
        <w:numPr>
          <w:ilvl w:val="0"/>
          <w:numId w:val="2"/>
        </w:numPr>
        <w:spacing w:after="60"/>
      </w:pPr>
      <w:r>
        <w:rPr>
          <w:rFonts w:ascii="Calibri" w:cs="Calibri" w:eastAsia="Calibri" w:hAnsi="Calibri"/>
          <w:sz w:val="22"/>
          <w:szCs w:val="22"/>
        </w:rPr>
        <w:t xml:space="preserve">Freiberufliche Tätigkeit und Gewerbe abgrenzen.</w:t>
      </w:r>
    </w:p>
    <w:p>
      <w:pPr>
        <w:pStyle w:val="ListParagraph"/>
        <w:numPr>
          <w:ilvl w:val="0"/>
          <w:numId w:val="2"/>
        </w:numPr>
        <w:spacing w:after="60"/>
      </w:pPr>
      <w:r>
        <w:rPr>
          <w:rFonts w:ascii="Calibri" w:cs="Calibri" w:eastAsia="Calibri" w:hAnsi="Calibri"/>
          <w:sz w:val="22"/>
          <w:szCs w:val="22"/>
        </w:rPr>
        <w:t xml:space="preserve">Unternehmensgrößen, KMU und Start-ups einordnen.</w:t>
      </w:r>
    </w:p>
    <w:p>
      <w:pPr>
        <w:pStyle w:val="ListParagraph"/>
        <w:numPr>
          <w:ilvl w:val="0"/>
          <w:numId w:val="2"/>
        </w:numPr>
        <w:spacing w:after="60"/>
      </w:pPr>
      <w:r>
        <w:rPr>
          <w:rFonts w:ascii="Calibri" w:cs="Calibri" w:eastAsia="Calibri" w:hAnsi="Calibri"/>
          <w:sz w:val="22"/>
          <w:szCs w:val="22"/>
        </w:rPr>
        <w:t xml:space="preserve">Wirtschaftssektoren und Betriebstypen der ITK-Branche zuordnen.</w:t>
      </w:r>
    </w:p>
    <w:p>
      <w:pPr>
        <w:pStyle w:val="ListParagraph"/>
        <w:numPr>
          <w:ilvl w:val="0"/>
          <w:numId w:val="2"/>
        </w:numPr>
        <w:spacing w:after="60"/>
      </w:pPr>
      <w:r>
        <w:rPr>
          <w:rFonts w:ascii="Calibri" w:cs="Calibri" w:eastAsia="Calibri" w:hAnsi="Calibri"/>
          <w:sz w:val="22"/>
          <w:szCs w:val="22"/>
        </w:rPr>
        <w:t xml:space="preserve">Arbeitsteilung und Globalisierung mit Chancen und Risiken erklären.</w:t>
      </w:r>
    </w:p>
    <w:p>
      <w:pPr>
        <w:pStyle w:val="ListParagraph"/>
        <w:numPr>
          <w:ilvl w:val="0"/>
          <w:numId w:val="2"/>
        </w:numPr>
        <w:spacing w:after="60"/>
      </w:pPr>
      <w:r>
        <w:rPr>
          <w:rFonts w:ascii="Calibri" w:cs="Calibri" w:eastAsia="Calibri" w:hAnsi="Calibri"/>
          <w:sz w:val="22"/>
          <w:szCs w:val="22"/>
        </w:rPr>
        <w:t xml:space="preserve">Wirtschaftliche Verflechtungen unterscheiden (Konzern, Fusion, Kartell, Kooperation).</w:t>
      </w:r>
    </w:p>
    <w:p>
      <w:pPr>
        <w:pStyle w:val="ListParagraph"/>
        <w:numPr>
          <w:ilvl w:val="0"/>
          <w:numId w:val="2"/>
        </w:numPr>
        <w:spacing w:after="60"/>
      </w:pPr>
      <w:r>
        <w:rPr>
          <w:rFonts w:ascii="Calibri" w:cs="Calibri" w:eastAsia="Calibri" w:hAnsi="Calibri"/>
          <w:sz w:val="22"/>
          <w:szCs w:val="22"/>
        </w:rPr>
        <w:t xml:space="preserve">Stakeholder benennen, ihre Erwartungen ableiten und Compliance einordnen.</w:t>
      </w:r>
    </w:p>
    <w:p>
      <w:pPr>
        <w:pStyle w:val="Heading2"/>
        <w:spacing w:after="120" w:before="280"/>
      </w:pPr>
      <w:r>
        <w:rPr>
          <w:rFonts w:ascii="Calibri" w:cs="Calibri" w:eastAsia="Calibri" w:hAnsi="Calibri"/>
          <w:b/>
          <w:bCs/>
          <w:color w:val="0066AA"/>
          <w:sz w:val="26"/>
          <w:szCs w:val="26"/>
        </w:rPr>
        <w:t xml:space="preserve">1 Das Modellunternehmen KONTURA IT-Solutions</w:t>
      </w:r>
    </w:p>
    <w:p>
      <w:pPr>
        <w:spacing w:after="120"/>
      </w:pPr>
      <w:r>
        <w:rPr>
          <w:rFonts w:ascii="Calibri" w:cs="Calibri" w:eastAsia="Calibri" w:hAnsi="Calibri"/>
          <w:b w:val="false"/>
          <w:bCs w:val="false"/>
          <w:i w:val="false"/>
          <w:iCs w:val="false"/>
          <w:color w:val="1A1A1A"/>
          <w:sz w:val="22"/>
          <w:szCs w:val="22"/>
        </w:rPr>
        <w:t xml:space="preserve">KONTURA IT-Solutions dient als durchgängiges Praxisbeispiel für das gesamte Modul und ist ein Verbund von zehn rechtlich selbstständigen Systemhäusern an 16 Standorten mit rund 420 Mitarbeitenden; am Hauptstandort arbeiten 52 Personen, darunter Auszubildende. Das Unternehmen versteht sich als Mittler zwischen IT-Herstellern und Endkunden aus Wirtschaft und Verwaltung.</w:t>
      </w:r>
    </w:p>
    <w:p>
      <w:pPr>
        <w:pStyle w:val="Heading3"/>
        <w:spacing w:after="80" w:before="200"/>
      </w:pPr>
      <w:r>
        <w:rPr>
          <w:rFonts w:ascii="Calibri" w:cs="Calibri" w:eastAsia="Calibri" w:hAnsi="Calibri"/>
          <w:b/>
          <w:bCs/>
          <w:color w:val="003366"/>
          <w:sz w:val="23"/>
          <w:szCs w:val="23"/>
        </w:rPr>
        <w:t xml:space="preserve">1.1 Was ein Systemhaus tut</w:t>
      </w:r>
    </w:p>
    <w:p>
      <w:pPr>
        <w:pStyle w:val="ListParagraph"/>
        <w:numPr>
          <w:ilvl w:val="0"/>
          <w:numId w:val="2"/>
        </w:numPr>
        <w:spacing w:after="60"/>
      </w:pPr>
      <w:r>
        <w:rPr>
          <w:rFonts w:ascii="Calibri" w:cs="Calibri" w:eastAsia="Calibri" w:hAnsi="Calibri"/>
          <w:sz w:val="22"/>
          <w:szCs w:val="22"/>
        </w:rPr>
        <w:t xml:space="preserve">Bedarf der Kunden analysieren und passende IT-Lösungen entwickeln.</w:t>
      </w:r>
    </w:p>
    <w:p>
      <w:pPr>
        <w:pStyle w:val="ListParagraph"/>
        <w:numPr>
          <w:ilvl w:val="0"/>
          <w:numId w:val="2"/>
        </w:numPr>
        <w:spacing w:after="60"/>
      </w:pPr>
      <w:r>
        <w:rPr>
          <w:rFonts w:ascii="Calibri" w:cs="Calibri" w:eastAsia="Calibri" w:hAnsi="Calibri"/>
          <w:sz w:val="22"/>
          <w:szCs w:val="22"/>
        </w:rPr>
        <w:t xml:space="preserve">Hard- und Software beschaffen, liefern und einrichten.</w:t>
      </w:r>
    </w:p>
    <w:p>
      <w:pPr>
        <w:pStyle w:val="ListParagraph"/>
        <w:numPr>
          <w:ilvl w:val="0"/>
          <w:numId w:val="2"/>
        </w:numPr>
        <w:spacing w:after="60"/>
      </w:pPr>
      <w:r>
        <w:rPr>
          <w:rFonts w:ascii="Calibri" w:cs="Calibri" w:eastAsia="Calibri" w:hAnsi="Calibri"/>
          <w:sz w:val="22"/>
          <w:szCs w:val="22"/>
        </w:rPr>
        <w:t xml:space="preserve">Systeme betreiben, warten und aus der Ferne betreuen.</w:t>
      </w:r>
    </w:p>
    <w:p>
      <w:pPr>
        <w:pStyle w:val="ListParagraph"/>
        <w:numPr>
          <w:ilvl w:val="0"/>
          <w:numId w:val="2"/>
        </w:numPr>
        <w:spacing w:after="60"/>
      </w:pPr>
      <w:r>
        <w:rPr>
          <w:rFonts w:ascii="Calibri" w:cs="Calibri" w:eastAsia="Calibri" w:hAnsi="Calibri"/>
          <w:sz w:val="22"/>
          <w:szCs w:val="22"/>
        </w:rPr>
        <w:t xml:space="preserve">Aufgaben übernehmen, die Kunden auslagern (IT-Outsourcing).</w:t>
      </w: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Das Systemhaus verkauft nicht nur Produkte, sondern die Verfügbarkeit der IT beim Kunden. Daraus erklären sich Portfolio, Organisation und Kennzahlen.</w:t>
            </w:r>
          </w:p>
        </w:tc>
      </w:tr>
    </w:tbl>
    <w:p>
      <w:pPr>
        <w:spacing w:after="140"/>
      </w:pPr>
    </w:p>
    <w:p>
      <w:pPr>
        <w:pStyle w:val="Heading3"/>
        <w:spacing w:after="80" w:before="200"/>
      </w:pPr>
      <w:r>
        <w:rPr>
          <w:rFonts w:ascii="Calibri" w:cs="Calibri" w:eastAsia="Calibri" w:hAnsi="Calibri"/>
          <w:b/>
          <w:bCs/>
          <w:color w:val="003366"/>
          <w:sz w:val="23"/>
          <w:szCs w:val="23"/>
        </w:rPr>
        <w:t xml:space="preserve">1.2 Ausbildung im Systemhaus</w:t>
      </w:r>
    </w:p>
    <w:p>
      <w:pPr>
        <w:spacing w:after="120"/>
      </w:pPr>
      <w:r>
        <w:rPr>
          <w:rFonts w:ascii="Calibri" w:cs="Calibri" w:eastAsia="Calibri" w:hAnsi="Calibri"/>
          <w:b w:val="false"/>
          <w:bCs w:val="false"/>
          <w:i w:val="false"/>
          <w:iCs w:val="false"/>
          <w:color w:val="1A1A1A"/>
          <w:sz w:val="22"/>
          <w:szCs w:val="22"/>
        </w:rPr>
        <w:t xml:space="preserve">In den ersten beiden Ausbildungsjahren wechseln die Auszubildenden etwa alle drei Monate den Arbeitsbereich. Typische Stationen sind Werkstatt, Lager, Helpdesk, Außendienst, Entwicklung und Rechnungswesen. Im dritten Jahr folgt die Mitarbeit in größeren Kundenprojekten mit höherer Eigenverantwortung.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400"/>
        <w:gridCol w:w="3200"/>
        <w:gridCol w:w="4420"/>
      </w:tblGrid>
      <w:tr>
        <w:trPr>
          <w:tblHeader/>
        </w:trPr>
        <w:tc>
          <w:tcPr>
            <w:tcW w:type="dxa" w:w="1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Phase</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Schwerpunkt</w:t>
            </w:r>
          </w:p>
        </w:tc>
        <w:tc>
          <w:tcPr>
            <w:tcW w:type="dxa" w:w="4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Typische Aufgaben</w:t>
            </w:r>
          </w:p>
        </w:tc>
      </w:tr>
      <w:tr>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1. Jahr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Grundlagen, Kundenkontakt, Dokumentation</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Client-Setup, Tickets bearbeiten, Inventarisierung, Netzwerk- und Systemgrundlagen</w:t>
            </w:r>
          </w:p>
        </w:tc>
      </w:tr>
      <w:tr>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2. Jahr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Systeme, Netze, Services, Projektarbeit</w:t>
            </w:r>
          </w:p>
        </w:tc>
        <w:tc>
          <w:tcPr>
            <w:tcW w:type="dxa" w:w="4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Server- und Cloud-Dienste, Virtualisierung, Rollouts, Automatisierung</w:t>
            </w:r>
          </w:p>
        </w:tc>
      </w:tr>
      <w:tr>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3. Jahr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Security, Betrieb, Beratung</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Firewall und Backup, Monitoring, Härtung, Migrationen, Konzeptarbeit</w:t>
            </w:r>
          </w:p>
        </w:tc>
      </w:tr>
      <w:tr>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Abschluss</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Prüfungsvorbereitung</w:t>
            </w:r>
          </w:p>
        </w:tc>
        <w:tc>
          <w:tcPr>
            <w:tcW w:type="dxa" w:w="4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Abschlussprojekt planen, durchführen, dokumentieren und präsentieren</w:t>
            </w:r>
          </w:p>
        </w:tc>
      </w:tr>
    </w:tbl>
    <w:p>
      <w:pPr>
        <w:spacing w:after="140"/>
      </w:pPr>
    </w:p>
    <w:p>
      <w:pPr>
        <w:pStyle w:val="Heading3"/>
        <w:spacing w:after="80" w:before="200"/>
      </w:pPr>
      <w:r>
        <w:rPr>
          <w:rFonts w:ascii="Calibri" w:cs="Calibri" w:eastAsia="Calibri" w:hAnsi="Calibri"/>
          <w:b/>
          <w:bCs/>
          <w:color w:val="003366"/>
          <w:sz w:val="23"/>
          <w:szCs w:val="23"/>
        </w:rPr>
        <w:t xml:space="preserve">1.3 Leistungsportfolio</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400"/>
        <w:gridCol w:w="34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Kategorie</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Kundennutzen</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IT-Service und Helpdesk</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Störungsannahme, Tickets, Vor-Ort- und Remote-Support</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Schnelle Hilfe, weniger Ausfallzeit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Managed Services</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Monitoring, Patchmanagement, Wartung nach SLA</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Planbarer, stabiler Betrieb</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Cloud und Hosting</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Migration, Managed Hosting, Housing, Colocation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Skalierung ohne eigene Investition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Server und Storage</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Virtualisierte Server, Hyperkonvergenz</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Leistung und Ausfallsicherheit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IT-Beratung und Planung</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Bedarfsanalyse, Konzepte, Architektur</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Bessere Entscheidungen, weniger Fehlkäufe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IT-Security</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Firewall, Backup, Zugriffsverwaltung, Awareness</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Risiken senken, Vorgaben erfüllen</w:t>
            </w:r>
          </w:p>
        </w:tc>
      </w:tr>
    </w:tbl>
    <w:p>
      <w:pPr>
        <w:spacing w:after="140"/>
      </w:pPr>
    </w:p>
    <w:p>
      <w:pPr>
        <w:pStyle w:val="Heading3"/>
        <w:spacing w:after="80" w:before="200"/>
      </w:pPr>
      <w:r>
        <w:rPr>
          <w:rFonts w:ascii="Calibri" w:cs="Calibri" w:eastAsia="Calibri" w:hAnsi="Calibri"/>
          <w:b/>
          <w:bCs/>
          <w:color w:val="003366"/>
          <w:sz w:val="23"/>
          <w:szCs w:val="23"/>
        </w:rPr>
        <w:t xml:space="preserve">1.4 Wertschätzung und Nachhaltigkeit</w:t>
      </w:r>
    </w:p>
    <w:p>
      <w:pPr>
        <w:pStyle w:val="ListParagraph"/>
        <w:numPr>
          <w:ilvl w:val="0"/>
          <w:numId w:val="2"/>
        </w:numPr>
        <w:spacing w:after="60"/>
      </w:pPr>
      <w:r>
        <w:rPr>
          <w:rFonts w:ascii="Calibri" w:cs="Calibri" w:eastAsia="Calibri" w:hAnsi="Calibri"/>
          <w:sz w:val="22"/>
          <w:szCs w:val="22"/>
        </w:rPr>
        <w:t xml:space="preserve">Wertschätzung zeigt sich konkret: klares Onboarding, feste Ansprechpartner, Lernzeit, Fehlerkultur, transparente Ziele, Anerkennung und Entwicklungsperspektiven.</w:t>
      </w:r>
    </w:p>
    <w:p>
      <w:pPr>
        <w:pStyle w:val="ListParagraph"/>
        <w:numPr>
          <w:ilvl w:val="0"/>
          <w:numId w:val="2"/>
        </w:numPr>
        <w:spacing w:after="60"/>
      </w:pPr>
      <w:r>
        <w:rPr>
          <w:rFonts w:ascii="Calibri" w:cs="Calibri" w:eastAsia="Calibri" w:hAnsi="Calibri"/>
          <w:sz w:val="22"/>
          <w:szCs w:val="22"/>
        </w:rPr>
        <w:t xml:space="preserve">Work-Life-Balance: flexible Arbeitszeit, Homeoffice, Betriebssport, Fahrradleasing, Sabbaticals, Kinderbetreuung.</w:t>
      </w:r>
    </w:p>
    <w:p>
      <w:pPr>
        <w:pStyle w:val="ListParagraph"/>
        <w:numPr>
          <w:ilvl w:val="0"/>
          <w:numId w:val="2"/>
        </w:numPr>
        <w:spacing w:after="60"/>
      </w:pPr>
      <w:r>
        <w:rPr>
          <w:rFonts w:ascii="Calibri" w:cs="Calibri" w:eastAsia="Calibri" w:hAnsi="Calibri"/>
          <w:sz w:val="22"/>
          <w:szCs w:val="22"/>
        </w:rPr>
        <w:t xml:space="preserve">Green IT: Serverauslastung erhöhen, Abschaltregeln, langlebige und reparierbare Geräte, Remote-Support statt Fahrten, zertifizierte Datenlöschung und Recycling.</w:t>
      </w:r>
    </w:p>
    <w:p>
      <w:pPr>
        <w:pStyle w:val="ListParagraph"/>
        <w:numPr>
          <w:ilvl w:val="0"/>
          <w:numId w:val="2"/>
        </w:numPr>
        <w:spacing w:after="60"/>
      </w:pPr>
      <w:r>
        <w:rPr>
          <w:rFonts w:ascii="Calibri" w:cs="Calibri" w:eastAsia="Calibri" w:hAnsi="Calibri"/>
          <w:sz w:val="22"/>
          <w:szCs w:val="22"/>
        </w:rPr>
        <w:t xml:space="preserve">Gesellschaftliche Verantwortung (CSR): Nachwuchsförderung, Workshops, Berufsorientierung, regionales Engagement.</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Für die Betriebsvorstellung gilt: immer ein konkretes Beispiel statt eines Schlagworts. "Wir sind nachhaltig" zählt nicht, "wir setzen refurbished Notebooks in der Ausbildung ein" zählt.</w:t>
            </w:r>
          </w:p>
        </w:tc>
      </w:tr>
    </w:tbl>
    <w:p>
      <w:pPr>
        <w:spacing w:after="140"/>
      </w:pPr>
    </w:p>
    <w:p>
      <w:pPr>
        <w:pStyle w:val="Heading2"/>
        <w:spacing w:after="120" w:before="280"/>
      </w:pPr>
      <w:r>
        <w:rPr>
          <w:rFonts w:ascii="Calibri" w:cs="Calibri" w:eastAsia="Calibri" w:hAnsi="Calibri"/>
          <w:b/>
          <w:bCs/>
          <w:color w:val="0066AA"/>
          <w:sz w:val="26"/>
          <w:szCs w:val="26"/>
        </w:rPr>
        <w:t xml:space="preserve">2 Betrieb und Unternehmen unterscheiden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600"/>
        <w:gridCol w:w="36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Betrieb</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Unternehmen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Charakter</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Organisatorisch-technische Wirtschaftseinheit</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Rechtliche Wirtschaftseinheit mit Gewinnabsicht</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Funktion</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Ort der Leistungserstellung</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Trifft strategische Entscheidungen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Ausstattung</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Personal und Betriebsmittel am Standort</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Rechtsform, Eigentum, Finanzierung</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Umfang</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Standort oder eine Einheit</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Kann mehrere Betriebe besitzen</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Beispiel</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Rechenzentrum, Werkstatt, Filiale</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 GmbH, die diese Standorte betreibt</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Ein Unternehmen kann mehrere Betriebe führen – ein Betrieb ist nie größer als sein Unternehmen.</w:t>
            </w:r>
          </w:p>
        </w:tc>
      </w:tr>
    </w:tbl>
    <w:p>
      <w:pPr>
        <w:spacing w:after="140"/>
      </w:pPr>
    </w:p>
    <w:p>
      <w:pPr>
        <w:pStyle w:val="Heading3"/>
        <w:spacing w:after="80" w:before="200"/>
      </w:pPr>
      <w:r>
        <w:rPr>
          <w:rFonts w:ascii="Calibri" w:cs="Calibri" w:eastAsia="Calibri" w:hAnsi="Calibri"/>
          <w:b/>
          <w:bCs/>
          <w:color w:val="003366"/>
          <w:sz w:val="23"/>
          <w:szCs w:val="23"/>
        </w:rPr>
        <w:t xml:space="preserve">2.1 Erwerbswirtschaftlich und gemeinwirtschaftlich</w:t>
      </w:r>
    </w:p>
    <w:p>
      <w:pPr>
        <w:pStyle w:val="ListParagraph"/>
        <w:numPr>
          <w:ilvl w:val="0"/>
          <w:numId w:val="2"/>
        </w:numPr>
        <w:spacing w:after="60"/>
      </w:pPr>
      <w:r>
        <w:rPr>
          <w:rFonts w:ascii="Calibri" w:cs="Calibri" w:eastAsia="Calibri" w:hAnsi="Calibri"/>
          <w:sz w:val="22"/>
          <w:szCs w:val="22"/>
        </w:rPr>
        <w:t xml:space="preserve">Erwerbswirtschaftliche Unternehmen arbeiten auf eigene Rechnung und streben Gewinn an; der Gewinn fließt an Inhaber, Gesellschafter oder Kapitalgeber.</w:t>
      </w:r>
    </w:p>
    <w:p>
      <w:pPr>
        <w:pStyle w:val="ListParagraph"/>
        <w:numPr>
          <w:ilvl w:val="0"/>
          <w:numId w:val="2"/>
        </w:numPr>
        <w:spacing w:after="60"/>
      </w:pPr>
      <w:r>
        <w:rPr>
          <w:rFonts w:ascii="Calibri" w:cs="Calibri" w:eastAsia="Calibri" w:hAnsi="Calibri"/>
          <w:sz w:val="22"/>
          <w:szCs w:val="22"/>
        </w:rPr>
        <w:t xml:space="preserve">Gemeinwirtschaftliche Unternehmen arbeiten nach dem Kostendeckungsprinzip und erfüllen einen Versorgungsauftrag, etwa Versorgungsbetriebe oder Theater.</w:t>
      </w:r>
    </w:p>
    <w:p>
      <w:pPr>
        <w:pStyle w:val="Heading3"/>
        <w:spacing w:after="80" w:before="200"/>
      </w:pPr>
      <w:r>
        <w:rPr>
          <w:rFonts w:ascii="Calibri" w:cs="Calibri" w:eastAsia="Calibri" w:hAnsi="Calibri"/>
          <w:b/>
          <w:bCs/>
          <w:color w:val="003366"/>
          <w:sz w:val="23"/>
          <w:szCs w:val="23"/>
        </w:rPr>
        <w:t xml:space="preserve">2.2 Freie Berufe und Gewerbe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600"/>
        <w:gridCol w:w="3700"/>
        <w:gridCol w:w="3720"/>
      </w:tblGrid>
      <w:tr>
        <w:trPr>
          <w:tblHeader/>
        </w:trPr>
        <w:tc>
          <w:tcPr>
            <w:tcW w:type="dxa" w:w="1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7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Freie Berufe (§ 18 EStG)</w:t>
            </w:r>
          </w:p>
        </w:tc>
        <w:tc>
          <w:tcPr>
            <w:tcW w:type="dxa" w:w="37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Gewerbe</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Tätigkeit</w:t>
            </w:r>
          </w:p>
        </w:tc>
        <w:tc>
          <w:tcPr>
            <w:tcW w:type="dxa" w:w="37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Selbstständige Dienstleistung mit hoher geistiger oder kreativer Leistung</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Jede selbstständige Tätigkeit außer freiberuflich oder landwirtschaftlich</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Beispiele</w:t>
            </w:r>
          </w:p>
        </w:tc>
        <w:tc>
          <w:tcPr>
            <w:tcW w:type="dxa" w:w="37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Ärzte, Anwälte, Ingenieure, planende Softwareentwickler</w:t>
            </w:r>
          </w:p>
        </w:tc>
        <w:tc>
          <w:tcPr>
            <w:tcW w:type="dxa" w:w="37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 Handwerk, Betrieb eines Systemhauses</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Anmeldung</w:t>
            </w:r>
          </w:p>
        </w:tc>
        <w:tc>
          <w:tcPr>
            <w:tcW w:type="dxa" w:w="37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Beim Finanzamt</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Gewerbeanmeldung beim Gewerbeamt</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Steuern</w:t>
            </w:r>
          </w:p>
        </w:tc>
        <w:tc>
          <w:tcPr>
            <w:tcW w:type="dxa" w:w="37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Keine Gewerbesteuer</w:t>
            </w:r>
          </w:p>
        </w:tc>
        <w:tc>
          <w:tcPr>
            <w:tcW w:type="dxa" w:w="37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Gewerbesteuerpflicht</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Kammer</w:t>
            </w:r>
          </w:p>
        </w:tc>
        <w:tc>
          <w:tcPr>
            <w:tcW w:type="dxa" w:w="37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Keine IHK-Pflichtmitgliedschaft</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IHK-Pflichtmitgliedschaft</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Die Abgrenzung entscheidet sich an der Art der Tätigkeit, nicht am Beruf im Lebenslauf. Ein Softwareentwickler kann freiberuflich (planend, konzipierend) oder gewerblich (produzierend, handelnd) tätig sein; im Zweifel entscheidet das Finanzamt. Rechtsstand nicht gesondert geprüft.</w:t>
            </w:r>
          </w:p>
        </w:tc>
      </w:tr>
    </w:tbl>
    <w:p>
      <w:pPr>
        <w:spacing w:after="140"/>
      </w:pPr>
    </w:p>
    <w:p>
      <w:pPr>
        <w:pStyle w:val="Heading3"/>
        <w:spacing w:after="80" w:before="200"/>
      </w:pPr>
      <w:r>
        <w:rPr>
          <w:rFonts w:ascii="Calibri" w:cs="Calibri" w:eastAsia="Calibri" w:hAnsi="Calibri"/>
          <w:b/>
          <w:bCs/>
          <w:color w:val="003366"/>
          <w:sz w:val="23"/>
          <w:szCs w:val="23"/>
        </w:rPr>
        <w:t xml:space="preserve">2.3 Unternehmensgrößen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Größe</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Orientierung</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Kleinstunternehmen</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Sehr wenige Beschäftigte, geringer Umsatz</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Kleinunternehmen</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Bis rund 49 Beschäftigte</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Mittleres Unternehmen</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Bis 249 Beschäftigte, bis 50 Mio. € Jahresumsatz</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Großunternehmen</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Darüber hinaus</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Start-up</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Junges Unternehmen mit innovativer Geschäftsidee und hohem Wachstumspotenzial</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Nach den im Lehrwerk zitierten Zahlen sind 99,3 % aller deutschen Unternehmen KMU. Sie beschäftigen 54,4 % aller Arbeitnehmerinnen und Arbeitnehmer, bilden 70,6 % aller Auszubildenden aus und erwirtschaften 33,7 % aller Umsätze (Werte aus dem Lehrbuch, nicht gesondert geprüft).</w:t>
      </w:r>
    </w:p>
    <w:p>
      <w:pPr>
        <w:pStyle w:val="Heading3"/>
        <w:spacing w:after="80" w:before="200"/>
      </w:pPr>
      <w:r>
        <w:rPr>
          <w:rFonts w:ascii="Calibri" w:cs="Calibri" w:eastAsia="Calibri" w:hAnsi="Calibri"/>
          <w:b/>
          <w:bCs/>
          <w:color w:val="003366"/>
          <w:sz w:val="23"/>
          <w:szCs w:val="23"/>
        </w:rPr>
        <w:t xml:space="preserve">2.4 Wirtschaftssektoren und Betriebstypen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600"/>
        <w:gridCol w:w="3200"/>
        <w:gridCol w:w="4220"/>
      </w:tblGrid>
      <w:tr>
        <w:trPr>
          <w:tblHeader/>
        </w:trPr>
        <w:tc>
          <w:tcPr>
            <w:tcW w:type="dxa" w:w="1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Sektor</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4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Primär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Rohstoffgewinnung</w:t>
            </w:r>
          </w:p>
        </w:tc>
        <w:tc>
          <w:tcPr>
            <w:tcW w:type="dxa" w:w="4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Landwirtschaft, Bergbau</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Sekundär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Produktion und Verarbeitung</w:t>
            </w:r>
          </w:p>
        </w:tc>
        <w:tc>
          <w:tcPr>
            <w:tcW w:type="dxa" w:w="4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Hardwarefertigung</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Tertiär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Dienstleistungen</w:t>
            </w:r>
          </w:p>
        </w:tc>
        <w:tc>
          <w:tcPr>
            <w:tcW w:type="dxa" w:w="4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Systemhaus, Rechenzentrum, Beratung</w:t>
            </w:r>
          </w:p>
        </w:tc>
      </w:tr>
    </w:tbl>
    <w:p>
      <w:pPr>
        <w:spacing w:after="140"/>
      </w:pP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800"/>
        <w:gridCol w:w="6220"/>
      </w:tblGrid>
      <w:tr>
        <w:trPr>
          <w:tblHeader/>
        </w:trPr>
        <w:tc>
          <w:tcPr>
            <w:tcW w:type="dxa" w:w="2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Betriebstyp der ITK-Branche</w:t>
            </w:r>
          </w:p>
        </w:tc>
        <w:tc>
          <w:tcPr>
            <w:tcW w:type="dxa" w:w="6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Kennzeichen</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IT-Hersteller</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Produziert Hardware oder Software</w:t>
            </w:r>
          </w:p>
        </w:tc>
      </w:tr>
      <w:tr>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Systemhaus</w:t>
            </w:r>
          </w:p>
        </w:tc>
        <w:tc>
          <w:tcPr>
            <w:tcW w:type="dxa" w:w="6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Plant, liefert und betreibt IT-Lösungen für Kunden</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IT-Berater</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Analyse, Konzeption, Begleitung ohne eigene Lieferung</w:t>
            </w:r>
          </w:p>
        </w:tc>
      </w:tr>
      <w:tr>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Rechenzentrum</w:t>
            </w:r>
          </w:p>
        </w:tc>
        <w:tc>
          <w:tcPr>
            <w:tcW w:type="dxa" w:w="6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Betrieb von Servern, Storage und Netzen</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Provider</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Netz-, Cloud- und Hostingdienste</w:t>
            </w:r>
          </w:p>
        </w:tc>
      </w:tr>
      <w:tr>
        <w:tc>
          <w:tcPr>
            <w:tcW w:type="dxa" w:w="2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E-Commerce-Unternehmen</w:t>
            </w:r>
          </w:p>
        </w:tc>
        <w:tc>
          <w:tcPr>
            <w:tcW w:type="dxa" w:w="6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Handel über digitale Kanäle</w:t>
            </w:r>
          </w:p>
        </w:tc>
      </w:tr>
      <w:tr>
        <w:tc>
          <w:tcPr>
            <w:tcW w:type="dxa" w:w="2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B2B / B2C / B2A</w:t>
            </w:r>
          </w:p>
        </w:tc>
        <w:tc>
          <w:tcPr>
            <w:tcW w:type="dxa" w:w="6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Einordnung nach Geschäftsbeziehung: Unternehmen, Verbraucher, Verwaltung</w:t>
            </w:r>
          </w:p>
        </w:tc>
      </w:tr>
    </w:tbl>
    <w:p>
      <w:pPr>
        <w:spacing w:after="140"/>
      </w:pPr>
    </w:p>
    <w:p>
      <w:pPr>
        <w:pStyle w:val="Heading2"/>
        <w:spacing w:after="120" w:before="280"/>
      </w:pPr>
      <w:r>
        <w:rPr>
          <w:rFonts w:ascii="Calibri" w:cs="Calibri" w:eastAsia="Calibri" w:hAnsi="Calibri"/>
          <w:b/>
          <w:bCs/>
          <w:color w:val="0066AA"/>
          <w:sz w:val="26"/>
          <w:szCs w:val="26"/>
        </w:rPr>
        <w:t xml:space="preserve">3 Arbeitsteilung, Globalisierung und Verflechtungen</w:t>
      </w:r>
    </w:p>
    <w:p>
      <w:pPr>
        <w:spacing w:after="120"/>
      </w:pPr>
      <w:r>
        <w:rPr>
          <w:rFonts w:ascii="Calibri" w:cs="Calibri" w:eastAsia="Calibri" w:hAnsi="Calibri"/>
          <w:b w:val="false"/>
          <w:bCs w:val="false"/>
          <w:i w:val="false"/>
          <w:iCs w:val="false"/>
          <w:color w:val="1A1A1A"/>
          <w:sz w:val="22"/>
          <w:szCs w:val="22"/>
        </w:rPr>
        <w:t xml:space="preserve">Arbeitsteilung bedeutet, dass sich jeder Betrieb auf seine Kernkompetenz konzentriert und Vorleistungen von anderen bezieht. Das erhöht die Produktivität, macht aber zugleich abhängiger von Partnern und Lieferketten. Globalisierung beschreibt die weltweite Verflechtung von Wirtschaft, Technik, Politik und Kommunikation.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510"/>
        <w:gridCol w:w="4510"/>
      </w:tblGrid>
      <w:tr>
        <w:trPr>
          <w:tblHeader/>
        </w:trPr>
        <w:tc>
          <w:tcPr>
            <w:tcW w:type="dxa" w:w="451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Chancen</w:t>
            </w:r>
          </w:p>
        </w:tc>
        <w:tc>
          <w:tcPr>
            <w:tcW w:type="dxa" w:w="451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Risiken</w:t>
            </w:r>
          </w:p>
        </w:tc>
      </w:tr>
      <w:tr>
        <w:tc>
          <w:tcPr>
            <w:tcW w:type="dxa" w:w="451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Günstigere Beschaffung, größere Absatzmärkte</w:t>
            </w:r>
          </w:p>
        </w:tc>
        <w:tc>
          <w:tcPr>
            <w:tcW w:type="dxa" w:w="451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Lange und störanfällige Lieferketten</w:t>
            </w:r>
          </w:p>
        </w:tc>
      </w:tr>
      <w:tr>
        <w:tc>
          <w:tcPr>
            <w:tcW w:type="dxa" w:w="451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Wissens- und Technologietransfer</w:t>
            </w:r>
          </w:p>
        </w:tc>
        <w:tc>
          <w:tcPr>
            <w:tcW w:type="dxa" w:w="451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Umweltbelastung durch Transport und Produktion</w:t>
            </w:r>
          </w:p>
        </w:tc>
      </w:tr>
      <w:tr>
        <w:tc>
          <w:tcPr>
            <w:tcW w:type="dxa" w:w="451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Zugang zu Fachkräften über Grenzen hinweg</w:t>
            </w:r>
          </w:p>
        </w:tc>
        <w:tc>
          <w:tcPr>
            <w:tcW w:type="dxa" w:w="451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Abhängigkeit von wenigen Anbietern und Regionen</w:t>
            </w:r>
          </w:p>
        </w:tc>
      </w:tr>
      <w:tr>
        <w:tc>
          <w:tcPr>
            <w:tcW w:type="dxa" w:w="451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Standardisierung erleichtert Zusammenarbeit</w:t>
            </w:r>
          </w:p>
        </w:tc>
        <w:tc>
          <w:tcPr>
            <w:tcW w:type="dxa" w:w="451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Unterschiedliche Rechtslagen und politische Konflikte</w:t>
            </w:r>
          </w:p>
        </w:tc>
      </w:tr>
    </w:tbl>
    <w:p>
      <w:pPr>
        <w:spacing w:after="140"/>
      </w:pPr>
    </w:p>
    <w:p>
      <w:pPr>
        <w:pStyle w:val="Heading3"/>
        <w:spacing w:after="80" w:before="200"/>
      </w:pPr>
      <w:r>
        <w:rPr>
          <w:rFonts w:ascii="Calibri" w:cs="Calibri" w:eastAsia="Calibri" w:hAnsi="Calibri"/>
          <w:b/>
          <w:bCs/>
          <w:color w:val="003366"/>
          <w:sz w:val="23"/>
          <w:szCs w:val="23"/>
        </w:rPr>
        <w:t xml:space="preserve">3.1 Formen der Verflechtung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Form</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Konzern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Rechtlich selbstständige Unternehmen unter einheitlicher Leitung; übergeordnet ist die Holding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Fusion (Merger)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Zusammenschluss zu einer rechtlichen Einheit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Kartell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Wettbewerbsbeschränkende Absprache; nach § 1 GWB verboten. Seit der GWB-Novelle 2005 gilt die Legalausnahme des § 2 GWB: wettbewerbsfördernde Kooperationen sind ohne Genehmigungsverfahren erlaubt, die Beteiligten tragen die Beweislast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Partnerschaft / Allianz</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Dauerhafte Kooperation, in der ITK-Branche sehr verbreitet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Konsortium / ARGE</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Zusammenschluss auf Zeit für ein gemeinsames Vorhaben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Franchise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Nutzung eines Geschäftsmodells und einer Marke gegen Gebühr</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Das Bundeskartellamt prüft Zusammenschlüsse und marktbeherrschende Stellungen. Rechtsgrundlagen sind das Gesetz gegen Wettbewerbsbeschränkungen (GWB) und das Gesetz gegen den unlauteren Wettbewerb (UWG).</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Ältere Lehrwerke sprechen noch von "genehmigungsfähigen Normen- und Entwicklungskartellen". Dieses Anmeldeverfahren gibt es seit 2005 nicht mehr. Wer die Frage in der Prüfung so gestellt bekommt, sollte beides kennen: das Verbot nach § 1 GWB und die Legalausnahme nach § 2 GWB.</w:t>
            </w:r>
          </w:p>
        </w:tc>
      </w:tr>
    </w:tbl>
    <w:p>
      <w:pPr>
        <w:spacing w:after="140"/>
      </w:pPr>
    </w:p>
    <w:p>
      <w:pPr>
        <w:pStyle w:val="Heading2"/>
        <w:spacing w:after="120" w:before="280"/>
      </w:pPr>
      <w:r>
        <w:rPr>
          <w:rFonts w:ascii="Calibri" w:cs="Calibri" w:eastAsia="Calibri" w:hAnsi="Calibri"/>
          <w:b/>
          <w:bCs/>
          <w:color w:val="0066AA"/>
          <w:sz w:val="26"/>
          <w:szCs w:val="26"/>
        </w:rPr>
        <w:t xml:space="preserve">4 Stakeholder, Behörden und Compliance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3100"/>
        <w:gridCol w:w="35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Stakeholder</w:t>
            </w:r>
          </w:p>
        </w:tc>
        <w:tc>
          <w:tcPr>
            <w:tcW w:type="dxa" w:w="31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Erwartung</w:t>
            </w:r>
          </w:p>
        </w:tc>
        <w:tc>
          <w:tcPr>
            <w:tcW w:type="dxa" w:w="3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Praktische Folge im Betrieb</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w:t>
            </w:r>
          </w:p>
        </w:tc>
        <w:tc>
          <w:tcPr>
            <w:tcW w:type="dxa" w:w="3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Zuverlässige IT, schnelle Reaktion, klare Preise</w:t>
            </w:r>
          </w:p>
        </w:tc>
        <w:tc>
          <w:tcPr>
            <w:tcW w:type="dxa" w:w="3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SLA, Ticketsystem, saubere Dokumentation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Mitarbeitende und Auszubildende</w:t>
            </w:r>
          </w:p>
        </w:tc>
        <w:tc>
          <w:tcPr>
            <w:tcW w:type="dxa" w:w="3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Sinnvolle Aufgaben, Lernen, Sicherheit</w:t>
            </w:r>
          </w:p>
        </w:tc>
        <w:tc>
          <w:tcPr>
            <w:tcW w:type="dxa" w:w="35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Einarbeitung, Feedback, Lernzeit, Arbeitsschutz</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Eigentümer und Kapitalgeber</w:t>
            </w:r>
          </w:p>
        </w:tc>
        <w:tc>
          <w:tcPr>
            <w:tcW w:type="dxa" w:w="3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Wirtschaftlichkeit, Wachstum, Reputation</w:t>
            </w:r>
          </w:p>
        </w:tc>
        <w:tc>
          <w:tcPr>
            <w:tcW w:type="dxa" w:w="3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Kennzahlen, Qualitäts- und Risikomanagement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Lieferanten und Partner</w:t>
            </w:r>
          </w:p>
        </w:tc>
        <w:tc>
          <w:tcPr>
            <w:tcW w:type="dxa" w:w="3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Planbarkeit, faire Zusammenarbeit</w:t>
            </w:r>
          </w:p>
        </w:tc>
        <w:tc>
          <w:tcPr>
            <w:tcW w:type="dxa" w:w="35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Verträge, klare Schnittstellen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Öffentlichkeit und Kommune</w:t>
            </w:r>
          </w:p>
        </w:tc>
        <w:tc>
          <w:tcPr>
            <w:tcW w:type="dxa" w:w="3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Verantwortung, Umweltwirkung</w:t>
            </w:r>
          </w:p>
        </w:tc>
        <w:tc>
          <w:tcPr>
            <w:tcW w:type="dxa" w:w="3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Nachhaltige Beschaffung, Engagement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Behörden und Prüfstellen</w:t>
            </w:r>
          </w:p>
        </w:tc>
        <w:tc>
          <w:tcPr>
            <w:tcW w:type="dxa" w:w="3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Einhaltung der Regeln</w:t>
            </w:r>
          </w:p>
        </w:tc>
        <w:tc>
          <w:tcPr>
            <w:tcW w:type="dxa" w:w="35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Datenschutz, Arbeitsschutz, Nachweise</w:t>
            </w:r>
          </w:p>
        </w:tc>
      </w:tr>
    </w:tbl>
    <w:p>
      <w:pPr>
        <w:spacing w:after="140"/>
      </w:pPr>
    </w:p>
    <w:p>
      <w:pPr>
        <w:pStyle w:val="Heading3"/>
        <w:spacing w:after="80" w:before="200"/>
      </w:pPr>
      <w:r>
        <w:rPr>
          <w:rFonts w:ascii="Calibri" w:cs="Calibri" w:eastAsia="Calibri" w:hAnsi="Calibri"/>
          <w:b/>
          <w:bCs/>
          <w:color w:val="003366"/>
          <w:sz w:val="23"/>
          <w:szCs w:val="23"/>
        </w:rPr>
        <w:t xml:space="preserve">4.1 Behörden und Institutionen</w:t>
      </w:r>
    </w:p>
    <w:p>
      <w:pPr>
        <w:pStyle w:val="ListParagraph"/>
        <w:numPr>
          <w:ilvl w:val="0"/>
          <w:numId w:val="2"/>
        </w:numPr>
        <w:spacing w:after="60"/>
      </w:pPr>
      <w:r>
        <w:rPr>
          <w:rFonts w:ascii="Calibri" w:cs="Calibri" w:eastAsia="Calibri" w:hAnsi="Calibri"/>
          <w:sz w:val="22"/>
          <w:szCs w:val="22"/>
        </w:rPr>
        <w:t xml:space="preserve">IHK und berufsbildende Schule: Ausbildung, Prüfungen, Ausbildungsordnung.</w:t>
      </w:r>
    </w:p>
    <w:p>
      <w:pPr>
        <w:pStyle w:val="ListParagraph"/>
        <w:numPr>
          <w:ilvl w:val="0"/>
          <w:numId w:val="2"/>
        </w:numPr>
        <w:spacing w:after="60"/>
      </w:pPr>
      <w:r>
        <w:rPr>
          <w:rFonts w:ascii="Calibri" w:cs="Calibri" w:eastAsia="Calibri" w:hAnsi="Calibri"/>
          <w:sz w:val="22"/>
          <w:szCs w:val="22"/>
        </w:rPr>
        <w:t xml:space="preserve">Gewerbeamt und Handelsregister: Anmeldung und Eintragung je nach Rechtsform.</w:t>
      </w:r>
    </w:p>
    <w:p>
      <w:pPr>
        <w:pStyle w:val="ListParagraph"/>
        <w:numPr>
          <w:ilvl w:val="0"/>
          <w:numId w:val="2"/>
        </w:numPr>
        <w:spacing w:after="60"/>
      </w:pPr>
      <w:r>
        <w:rPr>
          <w:rFonts w:ascii="Calibri" w:cs="Calibri" w:eastAsia="Calibri" w:hAnsi="Calibri"/>
          <w:sz w:val="22"/>
          <w:szCs w:val="22"/>
        </w:rPr>
        <w:t xml:space="preserve">Finanzamt: Steuern, Abgaben, Nachweise.</w:t>
      </w:r>
    </w:p>
    <w:p>
      <w:pPr>
        <w:pStyle w:val="ListParagraph"/>
        <w:numPr>
          <w:ilvl w:val="0"/>
          <w:numId w:val="2"/>
        </w:numPr>
        <w:spacing w:after="60"/>
      </w:pPr>
      <w:r>
        <w:rPr>
          <w:rFonts w:ascii="Calibri" w:cs="Calibri" w:eastAsia="Calibri" w:hAnsi="Calibri"/>
          <w:sz w:val="22"/>
          <w:szCs w:val="22"/>
        </w:rPr>
        <w:t xml:space="preserve">Berufsgenossenschaften: gesetzliche Unfallversicherung und Unfallverhütung; die Beiträge trägt der Arbeitgeber allein.</w:t>
      </w:r>
    </w:p>
    <w:p>
      <w:pPr>
        <w:pStyle w:val="ListParagraph"/>
        <w:numPr>
          <w:ilvl w:val="0"/>
          <w:numId w:val="2"/>
        </w:numPr>
        <w:spacing w:after="60"/>
      </w:pPr>
      <w:r>
        <w:rPr>
          <w:rFonts w:ascii="Calibri" w:cs="Calibri" w:eastAsia="Calibri" w:hAnsi="Calibri"/>
          <w:sz w:val="22"/>
          <w:szCs w:val="22"/>
        </w:rPr>
        <w:t xml:space="preserve">Sozialversicherungsträger: Kranken-, Pflege-, Renten- und Arbeitslosenversicherung.</w:t>
      </w:r>
    </w:p>
    <w:p>
      <w:pPr>
        <w:pStyle w:val="ListParagraph"/>
        <w:numPr>
          <w:ilvl w:val="0"/>
          <w:numId w:val="2"/>
        </w:numPr>
        <w:spacing w:after="60"/>
      </w:pPr>
      <w:r>
        <w:rPr>
          <w:rFonts w:ascii="Calibri" w:cs="Calibri" w:eastAsia="Calibri" w:hAnsi="Calibri"/>
          <w:sz w:val="22"/>
          <w:szCs w:val="22"/>
        </w:rPr>
        <w:t xml:space="preserve">Datenschutzaufsicht: Kontrolle der Verarbeitung personenbezogener Daten.</w:t>
      </w:r>
    </w:p>
    <w:p>
      <w:pPr>
        <w:pStyle w:val="ListParagraph"/>
        <w:numPr>
          <w:ilvl w:val="0"/>
          <w:numId w:val="2"/>
        </w:numPr>
        <w:spacing w:after="60"/>
      </w:pPr>
      <w:r>
        <w:rPr>
          <w:rFonts w:ascii="Calibri" w:cs="Calibri" w:eastAsia="Calibri" w:hAnsi="Calibri"/>
          <w:sz w:val="22"/>
          <w:szCs w:val="22"/>
        </w:rPr>
        <w:t xml:space="preserve">Gewerbeaufsicht und Umweltbehörden: Arbeitsschutz, Entsorgung, Auflagen.</w:t>
      </w:r>
    </w:p>
    <w:p>
      <w:pPr>
        <w:pStyle w:val="Heading3"/>
        <w:spacing w:after="80" w:before="200"/>
      </w:pPr>
      <w:r>
        <w:rPr>
          <w:rFonts w:ascii="Calibri" w:cs="Calibri" w:eastAsia="Calibri" w:hAnsi="Calibri"/>
          <w:b/>
          <w:bCs/>
          <w:color w:val="003366"/>
          <w:sz w:val="23"/>
          <w:szCs w:val="23"/>
        </w:rPr>
        <w:t xml:space="preserve">4.2 Compliance</w:t>
      </w:r>
    </w:p>
    <w:p>
      <w:pPr>
        <w:spacing w:after="120"/>
      </w:pPr>
      <w:r>
        <w:rPr>
          <w:rFonts w:ascii="Calibri" w:cs="Calibri" w:eastAsia="Calibri" w:hAnsi="Calibri"/>
          <w:b w:val="false"/>
          <w:bCs w:val="false"/>
          <w:i w:val="false"/>
          <w:iCs w:val="false"/>
          <w:color w:val="1A1A1A"/>
          <w:sz w:val="22"/>
          <w:szCs w:val="22"/>
        </w:rPr>
        <w:t xml:space="preserve">Compliance bedeutet Regeltreue: die Einhaltung von Gesetzen, Normen und internen Richtlinien sowie die Berücksichtigung gesellschaftlicher Erwartungen. Größere Unternehmen richten dafür eigene Stellen ein. Im IT-Umfeld betrifft das vor allem Datenschutz und Informationssicherheit, Lizenzkonformität, den Umgang mit Zugängen und Berechtigungen sowie die Nachweisführung.</w:t>
      </w: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Verstöße kosten Geld, Aufträge und Vertrauen. Compliance ist Führungsaufgabe und lässt sich nicht an die IT-Abteilung delegieren.</w:t>
            </w:r>
          </w:p>
        </w:tc>
      </w:tr>
    </w:tbl>
    <w:p>
      <w:pPr>
        <w:spacing w:after="140"/>
      </w:pPr>
    </w:p>
    <w:p>
      <w:pPr>
        <w:pStyle w:val="Heading2"/>
        <w:spacing w:after="120" w:before="280"/>
      </w:pPr>
      <w:r>
        <w:rPr>
          <w:rFonts w:ascii="Calibri" w:cs="Calibri" w:eastAsia="Calibri" w:hAnsi="Calibri"/>
          <w:b/>
          <w:bCs/>
          <w:color w:val="0066AA"/>
          <w:sz w:val="26"/>
          <w:szCs w:val="26"/>
        </w:rPr>
        <w:t xml:space="preserve">5 Checkliste: einen Betrieb in zwei Minuten vorstellen</w:t>
      </w:r>
    </w:p>
    <w:p>
      <w:pPr>
        <w:pStyle w:val="ListParagraph"/>
        <w:numPr>
          <w:ilvl w:val="0"/>
          <w:numId w:val="3"/>
        </w:numPr>
        <w:spacing w:after="60"/>
      </w:pPr>
      <w:r>
        <w:rPr>
          <w:rFonts w:ascii="Calibri" w:cs="Calibri" w:eastAsia="Calibri" w:hAnsi="Calibri"/>
          <w:sz w:val="22"/>
          <w:szCs w:val="22"/>
        </w:rPr>
        <w:t xml:space="preserve">Name, Branche, Standort, Größe.</w:t>
      </w:r>
    </w:p>
    <w:p>
      <w:pPr>
        <w:pStyle w:val="ListParagraph"/>
        <w:numPr>
          <w:ilvl w:val="0"/>
          <w:numId w:val="3"/>
        </w:numPr>
        <w:spacing w:after="60"/>
      </w:pPr>
      <w:r>
        <w:rPr>
          <w:rFonts w:ascii="Calibri" w:cs="Calibri" w:eastAsia="Calibri" w:hAnsi="Calibri"/>
          <w:sz w:val="22"/>
          <w:szCs w:val="22"/>
        </w:rPr>
        <w:t xml:space="preserve">Kundenkreis und das Hauptproblem, das der Betrieb löst.</w:t>
      </w:r>
    </w:p>
    <w:p>
      <w:pPr>
        <w:pStyle w:val="ListParagraph"/>
        <w:numPr>
          <w:ilvl w:val="0"/>
          <w:numId w:val="3"/>
        </w:numPr>
        <w:spacing w:after="60"/>
      </w:pPr>
      <w:r>
        <w:rPr>
          <w:rFonts w:ascii="Calibri" w:cs="Calibri" w:eastAsia="Calibri" w:hAnsi="Calibri"/>
          <w:sz w:val="22"/>
          <w:szCs w:val="22"/>
        </w:rPr>
        <w:t xml:space="preserve">Drei bis fünf Kernleistungen.</w:t>
      </w:r>
    </w:p>
    <w:p>
      <w:pPr>
        <w:pStyle w:val="ListParagraph"/>
        <w:numPr>
          <w:ilvl w:val="0"/>
          <w:numId w:val="3"/>
        </w:numPr>
        <w:spacing w:after="60"/>
      </w:pPr>
      <w:r>
        <w:rPr>
          <w:rFonts w:ascii="Calibri" w:cs="Calibri" w:eastAsia="Calibri" w:hAnsi="Calibri"/>
          <w:sz w:val="22"/>
          <w:szCs w:val="22"/>
        </w:rPr>
        <w:t xml:space="preserve">Organisation der Ausbildung: Stationen, Projekte, Betreuung.</w:t>
      </w:r>
    </w:p>
    <w:p>
      <w:pPr>
        <w:pStyle w:val="ListParagraph"/>
        <w:numPr>
          <w:ilvl w:val="0"/>
          <w:numId w:val="3"/>
        </w:numPr>
        <w:spacing w:after="60"/>
      </w:pPr>
      <w:r>
        <w:rPr>
          <w:rFonts w:ascii="Calibri" w:cs="Calibri" w:eastAsia="Calibri" w:hAnsi="Calibri"/>
          <w:sz w:val="22"/>
          <w:szCs w:val="22"/>
        </w:rPr>
        <w:t xml:space="preserve">Werte: ein Beispiel für Wertschätzung, ein Beispiel für Nachhaltigkeit.</w:t>
      </w:r>
    </w:p>
    <w:p>
      <w:pPr>
        <w:pStyle w:val="ListParagraph"/>
        <w:numPr>
          <w:ilvl w:val="0"/>
          <w:numId w:val="3"/>
        </w:numPr>
        <w:spacing w:after="60"/>
      </w:pPr>
      <w:r>
        <w:rPr>
          <w:rFonts w:ascii="Calibri" w:cs="Calibri" w:eastAsia="Calibri" w:hAnsi="Calibri"/>
          <w:sz w:val="22"/>
          <w:szCs w:val="22"/>
        </w:rPr>
        <w:t xml:space="preserve">Ein konkretes Beispiel aus der Praxis: Projekt, Kundenfall oder Servicefall.</w:t>
      </w:r>
    </w:p>
    <w:p>
      <w:pPr>
        <w:pStyle w:val="Heading2"/>
        <w:spacing w:after="120" w:before="280"/>
      </w:pPr>
      <w:r>
        <w:rPr>
          <w:rFonts w:ascii="Calibri" w:cs="Calibri" w:eastAsia="Calibri" w:hAnsi="Calibri"/>
          <w:b/>
          <w:bCs/>
          <w:color w:val="0066AA"/>
          <w:sz w:val="26"/>
          <w:szCs w:val="26"/>
        </w:rPr>
        <w:t xml:space="preserve">6 Kurzcheck</w:t>
      </w:r>
    </w:p>
    <w:p>
      <w:pPr>
        <w:pStyle w:val="ListParagraph"/>
        <w:numPr>
          <w:ilvl w:val="0"/>
          <w:numId w:val="2"/>
        </w:numPr>
        <w:spacing w:after="60"/>
      </w:pPr>
      <w:r>
        <w:rPr>
          <w:rFonts w:ascii="Calibri" w:cs="Calibri" w:eastAsia="Calibri" w:hAnsi="Calibri"/>
          <w:sz w:val="22"/>
          <w:szCs w:val="22"/>
        </w:rPr>
        <w:t xml:space="preserve">Ich kann Betrieb und Unternehmen unterscheiden und Beispiele zuordnen.</w:t>
      </w:r>
    </w:p>
    <w:p>
      <w:pPr>
        <w:pStyle w:val="ListParagraph"/>
        <w:numPr>
          <w:ilvl w:val="0"/>
          <w:numId w:val="2"/>
        </w:numPr>
        <w:spacing w:after="60"/>
      </w:pPr>
      <w:r>
        <w:rPr>
          <w:rFonts w:ascii="Calibri" w:cs="Calibri" w:eastAsia="Calibri" w:hAnsi="Calibri"/>
          <w:sz w:val="22"/>
          <w:szCs w:val="22"/>
        </w:rPr>
        <w:t xml:space="preserve">Ich kann freiberufliche und gewerbliche Tätigkeit abgrenzen und die Folgen nennen.</w:t>
      </w:r>
    </w:p>
    <w:p>
      <w:pPr>
        <w:pStyle w:val="ListParagraph"/>
        <w:numPr>
          <w:ilvl w:val="0"/>
          <w:numId w:val="2"/>
        </w:numPr>
        <w:spacing w:after="60"/>
      </w:pPr>
      <w:r>
        <w:rPr>
          <w:rFonts w:ascii="Calibri" w:cs="Calibri" w:eastAsia="Calibri" w:hAnsi="Calibri"/>
          <w:sz w:val="22"/>
          <w:szCs w:val="22"/>
        </w:rPr>
        <w:t xml:space="preserve">Ich kann die Bedeutung der KMU mit Zahlen belegen.</w:t>
      </w:r>
    </w:p>
    <w:p>
      <w:pPr>
        <w:pStyle w:val="ListParagraph"/>
        <w:numPr>
          <w:ilvl w:val="0"/>
          <w:numId w:val="2"/>
        </w:numPr>
        <w:spacing w:after="60"/>
      </w:pPr>
      <w:r>
        <w:rPr>
          <w:rFonts w:ascii="Calibri" w:cs="Calibri" w:eastAsia="Calibri" w:hAnsi="Calibri"/>
          <w:sz w:val="22"/>
          <w:szCs w:val="22"/>
        </w:rPr>
        <w:t xml:space="preserve">Ich kann IT-Berufe einem Wirtschaftssektor zuordnen und die Ausnahme begründen.</w:t>
      </w:r>
    </w:p>
    <w:p>
      <w:pPr>
        <w:pStyle w:val="ListParagraph"/>
        <w:numPr>
          <w:ilvl w:val="0"/>
          <w:numId w:val="2"/>
        </w:numPr>
        <w:spacing w:after="60"/>
      </w:pPr>
      <w:r>
        <w:rPr>
          <w:rFonts w:ascii="Calibri" w:cs="Calibri" w:eastAsia="Calibri" w:hAnsi="Calibri"/>
          <w:sz w:val="22"/>
          <w:szCs w:val="22"/>
        </w:rPr>
        <w:t xml:space="preserve">Ich kann sechs Betriebstypen der ITK-Branche beschreiben.</w:t>
      </w:r>
    </w:p>
    <w:p>
      <w:pPr>
        <w:pStyle w:val="ListParagraph"/>
        <w:numPr>
          <w:ilvl w:val="0"/>
          <w:numId w:val="2"/>
        </w:numPr>
        <w:spacing w:after="60"/>
      </w:pPr>
      <w:r>
        <w:rPr>
          <w:rFonts w:ascii="Calibri" w:cs="Calibri" w:eastAsia="Calibri" w:hAnsi="Calibri"/>
          <w:sz w:val="22"/>
          <w:szCs w:val="22"/>
        </w:rPr>
        <w:t xml:space="preserve">Ich kann Chancen und Risiken der Globalisierung je zweifach nennen.</w:t>
      </w:r>
    </w:p>
    <w:p>
      <w:pPr>
        <w:pStyle w:val="ListParagraph"/>
        <w:numPr>
          <w:ilvl w:val="0"/>
          <w:numId w:val="2"/>
        </w:numPr>
        <w:spacing w:after="60"/>
      </w:pPr>
      <w:r>
        <w:rPr>
          <w:rFonts w:ascii="Calibri" w:cs="Calibri" w:eastAsia="Calibri" w:hAnsi="Calibri"/>
          <w:sz w:val="22"/>
          <w:szCs w:val="22"/>
        </w:rPr>
        <w:t xml:space="preserve">Ich kann Konzern, Fusion, Kartell und Kooperation unterscheiden.</w:t>
      </w:r>
    </w:p>
    <w:p>
      <w:pPr>
        <w:pStyle w:val="ListParagraph"/>
        <w:numPr>
          <w:ilvl w:val="0"/>
          <w:numId w:val="2"/>
        </w:numPr>
        <w:spacing w:after="60"/>
      </w:pPr>
      <w:r>
        <w:rPr>
          <w:rFonts w:ascii="Calibri" w:cs="Calibri" w:eastAsia="Calibri" w:hAnsi="Calibri"/>
          <w:sz w:val="22"/>
          <w:szCs w:val="22"/>
        </w:rPr>
        <w:t xml:space="preserve">Ich kann fünf Stakeholder mit ihren Erwartungen benennen.</w:t>
      </w:r>
    </w:p>
    <w:p>
      <w:pPr>
        <w:pStyle w:val="ListParagraph"/>
        <w:numPr>
          <w:ilvl w:val="0"/>
          <w:numId w:val="2"/>
        </w:numPr>
        <w:spacing w:after="60"/>
      </w:pPr>
      <w:r>
        <w:rPr>
          <w:rFonts w:ascii="Calibri" w:cs="Calibri" w:eastAsia="Calibri" w:hAnsi="Calibri"/>
          <w:sz w:val="22"/>
          <w:szCs w:val="22"/>
        </w:rPr>
        <w:t xml:space="preserve">Ich kann erklären, was Compliance im IT-Betrieb bedeutet.</w:t>
      </w:r>
    </w:p>
    <w:p>
      <w:pPr>
        <w:pStyle w:val="Heading2"/>
        <w:spacing w:after="120" w:before="280"/>
      </w:pPr>
      <w:r>
        <w:rPr>
          <w:rFonts w:ascii="Calibri" w:cs="Calibri" w:eastAsia="Calibri" w:hAnsi="Calibri"/>
          <w:b/>
          <w:bCs/>
          <w:color w:val="0066AA"/>
          <w:sz w:val="26"/>
          <w:szCs w:val="26"/>
        </w:rPr>
        <w:t xml:space="preserve">7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Betrieb</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Organisatorisch-technische Wirtschaftseinheit, Ort der Leistungserstellung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Compliance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Regeltreue: Einhaltung von Gesetzen, Normen und internen Richtlinien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CSR</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Corporate Social Responsibility, gesellschaftliche Verantwortung des Unternehmens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Freie Berufe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Selbstständige Dienstleistung mit hoher geistiger Leistung, ohne Gewerbesteuer</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Gewerbe</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Selbstständige Tätigkeit außer freiberuflicher oder landwirtschaftlicher Tätigkeit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Holding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Übergeordnetes Unternehmen eines Konzerns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IT-Outsourcing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Auslagerung von IT-Aufgaben an einen externen Dienstleister</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Kartell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Wettbewerbsbeschränkende Absprache; verboten nach § 1 GWB, Legalausnahme nach § 2 GWB</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KMU</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Kleine und mittlere Unternehmen bis 249 Beschäftigte und 50 Mio. € Umsatz</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Konsortium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Zusammenschluss auf Zeit für ein gemeinsames Vorhaben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Konzern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Rechtlich selbstständige Unternehmen unter einheitlicher Leitung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Stakeholder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Anspruchsgruppe mit Erwartungen an das Unternehmen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Start-up</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Junges Unternehmen mit innovativer Geschäftsidee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Systemhaus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Mittler zwischen IT-Herstellern und Endkunden; plant, liefert und betreibt IT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Unternehmen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Rechtliche Wirtschaftseinheit mit Gewinnabsicht</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01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01 – Der Ausbildungsbetrieb und sein Umfeld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01 – Handout</dc:title>
  <dc:creator>bfw Lübeck</dc:creator>
  <cp:lastModifiedBy>Un-named</cp:lastModifiedBy>
  <cp:revision>1</cp:revision>
  <dcterms:created xsi:type="dcterms:W3CDTF">2026-08-04T10:23:36.611Z</dcterms:created>
  <dcterms:modified xsi:type="dcterms:W3CDTF">2026-08-04T10:23:36.611Z</dcterms:modified>
</cp:coreProperties>
</file>

<file path=docProps/custom.xml><?xml version="1.0" encoding="utf-8"?>
<Properties xmlns="http://schemas.openxmlformats.org/officeDocument/2006/custom-properties" xmlns:vt="http://schemas.openxmlformats.org/officeDocument/2006/docPropsVTypes"/>
</file>