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0066AA"/>
          <w:sz w:val="24"/>
          <w:szCs w:val="24"/>
        </w:rPr>
        <w:t xml:space="preserve">Projektaufgabe FIAE</w:t>
      </w:r>
    </w:p>
    <w:p>
      <w:pPr>
        <w:pBdr>
          <w:bottom w:val="single" w:color="F0A500" w:sz="12" w:space="6"/>
        </w:pBdr>
        <w:spacing w:after="120"/>
      </w:pPr>
      <w:r>
        <w:rPr>
          <w:b/>
          <w:bCs/>
          <w:color w:val="003366"/>
          <w:sz w:val="36"/>
          <w:szCs w:val="36"/>
        </w:rPr>
        <w:t xml:space="preserve">Mehrseitiges Anmeldeformular nach dem MVU-Muster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26"/>
      </w:tblGrid>
      <w:tr>
        <w:trPr>
          <w:tblHeader/>
        </w:trPr>
        <w:tc>
          <w:tcPr>
            <w:tcW w:type="dxa" w:w="2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Rahmen</w:t>
            </w:r>
          </w:p>
        </w:tc>
        <w:tc>
          <w:tcPr>
            <w:tcW w:type="dxa" w:w="6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dxa" w:w="2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Gruppe</w:t>
            </w:r>
          </w:p>
        </w:tc>
        <w:tc>
          <w:tcPr>
            <w:tcW w:type="dxa" w:w="6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2 Personen</w:t>
            </w:r>
          </w:p>
        </w:tc>
      </w:tr>
      <w:tr>
        <w:trPr>
          <w:tblHeader w:val="off"/>
        </w:trPr>
        <w:tc>
          <w:tcPr>
            <w:tcW w:type="dxa" w:w="2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Dauer</w:t>
            </w:r>
          </w:p>
        </w:tc>
        <w:tc>
          <w:tcPr>
            <w:tcW w:type="dxa" w:w="6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max. 2 Wochen (10 Unterrichtstage)</w:t>
            </w:r>
          </w:p>
        </w:tc>
      </w:tr>
      <w:tr>
        <w:trPr>
          <w:tblHeader w:val="off"/>
        </w:trPr>
        <w:tc>
          <w:tcPr>
            <w:tcW w:type="dxa" w:w="2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Technik</w:t>
            </w:r>
          </w:p>
        </w:tc>
        <w:tc>
          <w:tcPr>
            <w:tcW w:type="dxa" w:w="6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HTML, CSS, TypeScript (oder JavaScript), Vite als Entwicklungsserver</w:t>
            </w:r>
          </w:p>
        </w:tc>
      </w:tr>
      <w:tr>
        <w:trPr>
          <w:tblHeader w:val="off"/>
        </w:trPr>
        <w:tc>
          <w:tcPr>
            <w:tcW w:type="dxa" w:w="2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Abgabe</w:t>
            </w:r>
          </w:p>
        </w:tc>
        <w:tc>
          <w:tcPr>
            <w:tcW w:type="dxa" w:w="6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Quellcode (Git-Repository), Kurzdokumentation, Präsentation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1  Ausgangssituation</w:t>
      </w:r>
    </w:p>
    <w:p>
      <w:pPr>
        <w:spacing w:after="120"/>
      </w:pPr>
      <w:r>
        <w:t xml:space="preserve">Die DigiLearn GmbH aus Lübeck bietet IT-Weiterbildungen an. Bisher melden sich Teilnehmende per PDF-Formular an, das ausgedruckt, unterschrieben und eingescannt wird. Das soll durch ein Online-Formular ersetzt werden. Die fertige Anmeldung soll als Datei gesichert und an anderer Stelle wieder geöffnet werden können.</w:t>
      </w:r>
    </w:p>
    <w:p>
      <w:pPr>
        <w:spacing w:after="120"/>
      </w:pPr>
      <w:r>
        <w:t xml:space="preserve">Weil das Formular mehrere Seiten hat, beschweren sich Testpersonen bei einem ersten Prototyp: Wer zurückblättert, um etwas zu korrigieren, verliert die bereits eingegebenen Daten. Die neue Lösung soll das sauber lösen. Ihre Gruppe erhält den Auftrag.</w:t>
      </w:r>
    </w:p>
    <w:p>
      <w:pPr>
        <w:pStyle w:val="Heading1"/>
      </w:pPr>
      <w:r>
        <w:t xml:space="preserve">2  Ihr Auftrag</w:t>
      </w:r>
    </w:p>
    <w:p>
      <w:pPr>
        <w:spacing w:after="120"/>
      </w:pPr>
      <w:r>
        <w:t xml:space="preserve">Entwickeln Sie eine Webanwendung mit einem Anmeldeformular über vier Seiten. Die Anwendung wird nach dem Muster Model-View-Update (MVU) aufgebaut.</w:t>
      </w:r>
    </w:p>
    <w:p>
      <w:pPr>
        <w:pStyle w:val="Heading2"/>
      </w:pPr>
      <w:r>
        <w:t xml:space="preserve">Die vier Seiten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700"/>
        <w:gridCol w:w="5626"/>
      </w:tblGrid>
      <w:tr>
        <w:trPr>
          <w:tblHeader/>
        </w:trPr>
        <w:tc>
          <w:tcPr>
            <w:tcW w:type="dxa" w:w="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Nr.</w:t>
            </w:r>
          </w:p>
        </w:tc>
        <w:tc>
          <w:tcPr>
            <w:tcW w:type="dxa" w:w="2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Seite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Inhalt</w:t>
            </w:r>
          </w:p>
        </w:tc>
      </w:tr>
      <w:tr>
        <w:trPr>
          <w:tblHeader w:val="off"/>
        </w:trPr>
        <w:tc>
          <w:tcPr>
            <w:tcW w:type="dxa" w:w="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dxa" w:w="2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Persönliche Daten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Vorname, Nachname, E-Mail, Telefon (optional); Schaltfläche „Gespeicherte Anmeldung laden“</w:t>
            </w:r>
          </w:p>
        </w:tc>
      </w:tr>
      <w:tr>
        <w:trPr>
          <w:tblHeader w:val="off"/>
        </w:trPr>
        <w:tc>
          <w:tcPr>
            <w:tcW w:type="dxa" w:w="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W w:type="dxa" w:w="2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Kurswahl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Kurs aus einer Liste, Starttermin, Präsenz oder online</w:t>
            </w:r>
          </w:p>
        </w:tc>
      </w:tr>
      <w:tr>
        <w:trPr>
          <w:tblHeader w:val="off"/>
        </w:trPr>
        <w:tc>
          <w:tcPr>
            <w:tcW w:type="dxa" w:w="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W w:type="dxa" w:w="2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Rechnungsdaten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Rechnungsempfänger (selbst oder Arbeitgeber), Anschrift</w:t>
            </w:r>
          </w:p>
        </w:tc>
      </w:tr>
      <w:tr>
        <w:trPr>
          <w:tblHeader w:val="off"/>
        </w:trPr>
        <w:tc>
          <w:tcPr>
            <w:tcW w:type="dxa" w:w="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W w:type="dxa" w:w="2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Zusammenfassung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Alle Angaben zur Kontrolle, Datenschutz-Häkchen, „Als Datei speichern“, Absenden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Anforderungen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Weiter und Zurück: </w:t>
      </w:r>
      <w:r>
        <w:t xml:space="preserve">Jede Seite hat Schaltflächen zum Vor- und Zurückblättern.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Kein Datenverlust: </w:t>
      </w:r>
      <w:r>
        <w:t xml:space="preserve">Wer zurückblättert und wieder vorgeht, findet alle Eingaben unverändert vor.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Direkter Rücksprung: </w:t>
      </w:r>
      <w:r>
        <w:t xml:space="preserve">Über eine Fortschrittsanzeige (z. B. 1 – 2 – 3 – 4) kann man direkt zu jeder bereits besuchten Seite springen.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Prüfung der Eingaben: </w:t>
      </w:r>
      <w:r>
        <w:t xml:space="preserve">„Weiter“ ist erst möglich, wenn die Pflichtfelder der Seite gültig sind. Fehler werden am Feld angezeigt.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Historie: </w:t>
      </w:r>
      <w:r>
        <w:t xml:space="preserve">Jeder Zustand der Anwendung wird gespeichert. Eine Schaltfläche „Rückgängig“ stellt den vorherigen Zustand wieder her.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Absenden: </w:t>
      </w:r>
      <w:r>
        <w:t xml:space="preserve">Es gibt kein Backend. Nach dem Absenden erscheint eine Bestätigung, und die Anmeldung wird automatisch als JSON-Datei heruntergeladen.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Speichern: </w:t>
      </w:r>
      <w:r>
        <w:t xml:space="preserve">Auf Seite 4 lässt sich die Anmeldung über „Als Datei speichern“ jederzeit als JSON-Datei sichern.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Laden: </w:t>
      </w:r>
      <w:r>
        <w:t xml:space="preserve">Auf Seite 1 kann eine gespeicherte JSON-Datei geladen werden. Danach springt die Anwendung direkt zur Zusammenfassung.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Prüfung beim Laden: </w:t>
      </w:r>
      <w:r>
        <w:t xml:space="preserve">Die geladene Datei wird geprüft, bevor sie übernommen wird. Fehlen Felder oder sind sie ungültig, erscheint eine Fehlermeldung, und das Formular bleibt unverändert.</w:t>
      </w:r>
    </w:p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4"/>
              <w:left w:val="single" w:color="0066AA" w:sz="24"/>
              <w:bottom w:val="single" w:color="0066AA" w:sz="4"/>
              <w:right w:val="single" w:color="0066AA" w:sz="4"/>
            </w:tcBorders>
            <w:shd w:fill="EEF5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003366"/>
              </w:rPr>
              <w:t xml:space="preserve">Hinweis zum Datenaustausch</w:t>
            </w:r>
          </w:p>
          <w:p>
            <w:pPr>
              <w:spacing w:after="120"/>
            </w:pPr>
            <w:r>
              <w:t xml:space="preserve">Wohin gespeichert und woher geladen wird, entscheidet der Browser bzw. der Datei-Dialog, nicht Ihre Anwendung. Verwenden Sie den normalen Download, der in allen Browsern funktioniert.</w:t>
            </w:r>
          </w:p>
          <w:p>
            <w:pPr>
              <w:spacing w:after="0"/>
            </w:pPr>
            <w:r>
              <w:t xml:space="preserve">Für den Austausch zwischen zwei Rechnern genügt ein gemeinsamer Ordner: der synchronisierte Ordner eines Cloud-Dienstes, ein Netzlaufwerk oder ein USB-Stick. Eine Anbindung an Cloud-Schnittstellen (z. B. Dropbox- oder Google-Drive-API) ist ausdrücklich nicht Teil der Aufgabe.</w:t>
            </w:r>
          </w:p>
        </w:tc>
      </w:tr>
    </w:tbl>
    <w:p>
      <w:pPr>
        <w:pStyle w:val="Heading1"/>
      </w:pPr>
      <w:r>
        <w:t xml:space="preserve">3  Kurz erklärt: Model-View-Update</w:t>
      </w:r>
    </w:p>
    <w:p>
      <w:pPr>
        <w:spacing w:after="120"/>
      </w:pPr>
      <w:r>
        <w:t xml:space="preserve">Bei MVU gibt es genau einen Zustand für die ganze Anwendung. Er wird nie direkt verändert, sondern immer durch einen neuen ersetzt.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226"/>
      </w:tblGrid>
      <w:tr>
        <w:trPr>
          <w:tblHeader/>
        </w:trPr>
        <w:tc>
          <w:tcPr>
            <w:tcW w:type="dxa" w:w="1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Baustein</w:t>
            </w:r>
          </w:p>
        </w:tc>
        <w:tc>
          <w:tcPr>
            <w:tcW w:type="dxa" w:w="72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Aufgabe</w:t>
            </w:r>
          </w:p>
        </w:tc>
      </w:tr>
      <w:tr>
        <w:trPr>
          <w:tblHeader w:val="off"/>
        </w:trPr>
        <w:tc>
          <w:tcPr>
            <w:tcW w:type="dxa" w:w="1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Model</w:t>
            </w:r>
          </w:p>
        </w:tc>
        <w:tc>
          <w:tcPr>
            <w:tcW w:type="dxa" w:w="72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Der gesamte Zustand: aktuelle Seite, alle Eingaben, Fehlermeldungen</w:t>
            </w:r>
          </w:p>
        </w:tc>
      </w:tr>
      <w:tr>
        <w:trPr>
          <w:tblHeader w:val="off"/>
        </w:trPr>
        <w:tc>
          <w:tcPr>
            <w:tcW w:type="dxa" w:w="1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Message</w:t>
            </w:r>
          </w:p>
        </w:tc>
        <w:tc>
          <w:tcPr>
            <w:tcW w:type="dxa" w:w="72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Beschreibt, was passiert ist, z. B. „Feld geändert“ oder „Weiter geklickt“</w:t>
            </w:r>
          </w:p>
        </w:tc>
      </w:tr>
      <w:tr>
        <w:trPr>
          <w:tblHeader w:val="off"/>
        </w:trPr>
        <w:tc>
          <w:tcPr>
            <w:tcW w:type="dxa" w:w="1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Update</w:t>
            </w:r>
          </w:p>
        </w:tc>
        <w:tc>
          <w:tcPr>
            <w:tcW w:type="dxa" w:w="72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Funktion, die aus altem Model und Message ein neues Model berechnet</w:t>
            </w:r>
          </w:p>
        </w:tc>
      </w:tr>
      <w:tr>
        <w:trPr>
          <w:tblHeader w:val="off"/>
        </w:trPr>
        <w:tc>
          <w:tcPr>
            <w:tcW w:type="dxa" w:w="18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View</w:t>
            </w:r>
          </w:p>
        </w:tc>
        <w:tc>
          <w:tcPr>
            <w:tcW w:type="dxa" w:w="72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Funktion, die aus dem Model die Oberfläche erzeugt</w:t>
            </w:r>
          </w:p>
        </w:tc>
      </w:tr>
    </w:tbl>
    <w:p>
      <w:pPr>
        <w:spacing w:after="120"/>
      </w:pPr>
    </w:p>
    <w:p>
      <w:pPr>
        <w:spacing w:after="120"/>
      </w:pPr>
      <w:r>
        <w:t xml:space="preserve">Ein mögliches Grundgerüst (darf angepasst werden):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0A2540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D6E4F0"/>
                <w:sz w:val="18"/>
                <w:szCs w:val="18"/>
              </w:rPr>
              <w:t xml:space="preserve">type Model = { seite: number; daten: Formulardaten; fehler: Fehler };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D6E4F0"/>
                <w:sz w:val="18"/>
                <w:szCs w:val="18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D6E4F0"/>
                <w:sz w:val="18"/>
                <w:szCs w:val="18"/>
              </w:rPr>
              <w:t xml:space="preserve">type Msg =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D6E4F0"/>
                <w:sz w:val="18"/>
                <w:szCs w:val="18"/>
              </w:rPr>
              <w:t xml:space="preserve">  | { typ: "FeldGeaendert"; feld: string; wert: string }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D6E4F0"/>
                <w:sz w:val="18"/>
                <w:szCs w:val="18"/>
              </w:rPr>
              <w:t xml:space="preserve">  | { typ: "Weiter" }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D6E4F0"/>
                <w:sz w:val="18"/>
                <w:szCs w:val="18"/>
              </w:rPr>
              <w:t xml:space="preserve">  | { typ: "Zurueck" }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D6E4F0"/>
                <w:sz w:val="18"/>
                <w:szCs w:val="18"/>
              </w:rPr>
              <w:t xml:space="preserve">  | { typ: "GeheZuSeite"; seite: number }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D6E4F0"/>
                <w:sz w:val="18"/>
                <w:szCs w:val="18"/>
              </w:rPr>
              <w:t xml:space="preserve">  | { typ: "DateiGeladen"; inhalt: string };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D6E4F0"/>
                <w:sz w:val="18"/>
                <w:szCs w:val="18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D6E4F0"/>
                <w:sz w:val="18"/>
                <w:szCs w:val="18"/>
              </w:rPr>
              <w:t xml:space="preserve">function update(model: Model, msg: Msg): Model { /* ... */ }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D6E4F0"/>
                <w:sz w:val="18"/>
                <w:szCs w:val="18"/>
              </w:rPr>
              <w:t xml:space="preserve">function view(model: Model): void { /* ... */ }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D6E4F0"/>
                <w:sz w:val="18"/>
                <w:szCs w:val="18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D6E4F0"/>
                <w:sz w:val="18"/>
                <w:szCs w:val="18"/>
              </w:rPr>
              <w:t xml:space="preserve">const historie: Model[] = [];   // jeder neue Zustand wird angehängt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4"/>
              <w:left w:val="single" w:color="0066AA" w:sz="24"/>
              <w:bottom w:val="single" w:color="0066AA" w:sz="4"/>
              <w:right w:val="single" w:color="0066AA" w:sz="4"/>
            </w:tcBorders>
            <w:shd w:fill="EEF5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003366"/>
              </w:rPr>
              <w:t xml:space="preserve">Tipp</w:t>
            </w:r>
          </w:p>
          <w:p>
            <w:pPr>
              <w:spacing w:after="0"/>
            </w:pPr>
            <w:r>
              <w:t xml:space="preserve">Weil „update“ den alten Zustand nie verändert, ist die Historie einfach eine Liste aller bisherigen Models. „Rückgängig“ heißt dann: den vorletzten Eintrag wieder anzeigen.</w:t>
            </w:r>
          </w:p>
        </w:tc>
      </w:tr>
    </w:tbl>
    <w:p>
      <w:pPr>
        <w:pStyle w:val="Heading1"/>
      </w:pPr>
      <w:r>
        <w:t xml:space="preserve">4  Ablauf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700"/>
        <w:gridCol w:w="5026"/>
      </w:tblGrid>
      <w:tr>
        <w:trPr>
          <w:tblHeader/>
        </w:trPr>
        <w:tc>
          <w:tcPr>
            <w:tcW w:type="dxa" w:w="23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Phase</w:t>
            </w:r>
          </w:p>
        </w:tc>
        <w:tc>
          <w:tcPr>
            <w:tcW w:type="dxa" w:w="1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Zeit</w:t>
            </w:r>
          </w:p>
        </w:tc>
        <w:tc>
          <w:tcPr>
            <w:tcW w:type="dxa" w:w="50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Ergebnis</w:t>
            </w:r>
          </w:p>
        </w:tc>
      </w:tr>
      <w:tr>
        <w:trPr>
          <w:tblHeader w:val="off"/>
        </w:trPr>
        <w:tc>
          <w:tcPr>
            <w:tcW w:type="dxa" w:w="23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Aufgabe lesen</w:t>
            </w:r>
          </w:p>
        </w:tc>
        <w:tc>
          <w:tcPr>
            <w:tcW w:type="dxa" w:w="1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Tag 1</w:t>
            </w:r>
          </w:p>
        </w:tc>
        <w:tc>
          <w:tcPr>
            <w:tcW w:type="dxa" w:w="50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Gemeinsames Verständnis, offene Fragen geklärt</w:t>
            </w:r>
          </w:p>
        </w:tc>
      </w:tr>
      <w:tr>
        <w:trPr>
          <w:tblHeader w:val="off"/>
        </w:trPr>
        <w:tc>
          <w:tcPr>
            <w:tcW w:type="dxa" w:w="23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Planung</w:t>
            </w:r>
          </w:p>
        </w:tc>
        <w:tc>
          <w:tcPr>
            <w:tcW w:type="dxa" w:w="1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Tag 1–2</w:t>
            </w:r>
          </w:p>
        </w:tc>
        <w:tc>
          <w:tcPr>
            <w:tcW w:type="dxa" w:w="50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Skizze der vier Seiten, Model und Messages festgelegt, Aufgaben verteilt</w:t>
            </w:r>
          </w:p>
        </w:tc>
      </w:tr>
      <w:tr>
        <w:trPr>
          <w:tblHeader w:val="off"/>
        </w:trPr>
        <w:tc>
          <w:tcPr>
            <w:tcW w:type="dxa" w:w="23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Umsetzung</w:t>
            </w:r>
          </w:p>
        </w:tc>
        <w:tc>
          <w:tcPr>
            <w:tcW w:type="dxa" w:w="1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Tag 3–8</w:t>
            </w:r>
          </w:p>
        </w:tc>
        <w:tc>
          <w:tcPr>
            <w:tcW w:type="dxa" w:w="50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Lauffähige Anwendung, regelmäßig im Git-Repository zusammengeführt</w:t>
            </w:r>
          </w:p>
        </w:tc>
      </w:tr>
      <w:tr>
        <w:trPr>
          <w:tblHeader w:val="off"/>
        </w:trPr>
        <w:tc>
          <w:tcPr>
            <w:tcW w:type="dxa" w:w="23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Vorstellung</w:t>
            </w:r>
          </w:p>
        </w:tc>
        <w:tc>
          <w:tcPr>
            <w:tcW w:type="dxa" w:w="17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Tag 9–10</w:t>
            </w:r>
          </w:p>
        </w:tc>
        <w:tc>
          <w:tcPr>
            <w:tcW w:type="dxa" w:w="50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Präsentation mit Live-Vorführung vor der Gruppe (ca. 15 Minuten)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4"/>
              <w:left w:val="single" w:color="F0A500" w:sz="24"/>
              <w:bottom w:val="single" w:color="F0A500" w:sz="4"/>
              <w:right w:val="single" w:color="F0A500" w:sz="4"/>
            </w:tcBorders>
            <w:shd w:fill="FFF4DC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003366"/>
              </w:rPr>
              <w:t xml:space="preserve">Wichtig für die Planung</w:t>
            </w:r>
          </w:p>
          <w:p>
            <w:pPr>
              <w:spacing w:after="0"/>
            </w:pPr>
            <w:r>
              <w:t xml:space="preserve">Legen Sie Model und Messages gemeinsam fest, bevor jemand programmiert. Wenn zwei Personen gegen zwei verschiedene Vorstellungen vom Zustand arbeiten, passt am Ende nichts zusammen.</w:t>
            </w:r>
          </w:p>
        </w:tc>
      </w:tr>
    </w:tbl>
    <w:p>
      <w:pPr>
        <w:pStyle w:val="Heading1"/>
      </w:pPr>
      <w:r>
        <w:t xml:space="preserve">5  Abgabe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Quellcode </w:t>
      </w:r>
      <w:r>
        <w:t xml:space="preserve">im Git-Repository, lauffähig mit „npm install“ und „npm run dev“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Kurzdokumentation </w:t>
      </w:r>
      <w:r>
        <w:t xml:space="preserve">(1–2 Seiten): Model, Liste der Messages, Aufgabenverteilung im Team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Präsentation: </w:t>
      </w:r>
      <w:r>
        <w:t xml:space="preserve">Vorführung der Anwendung, Erklärung von MVU am eigenen Code, Rückblick: Was lief gut, was würden Sie anders machen?</w:t>
      </w:r>
    </w:p>
    <w:p>
      <w:pPr>
        <w:pStyle w:val="Heading1"/>
      </w:pPr>
      <w:r>
        <w:t xml:space="preserve">6  Bewertung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26"/>
        <w:gridCol w:w="1500"/>
      </w:tblGrid>
      <w:tr>
        <w:trPr>
          <w:tblHeader/>
        </w:trPr>
        <w:tc>
          <w:tcPr>
            <w:tcW w:type="dxa" w:w="7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Kriterium</w:t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Punkte</w:t>
            </w:r>
          </w:p>
        </w:tc>
      </w:tr>
      <w:tr>
        <w:trPr>
          <w:tblHeader w:val="off"/>
        </w:trPr>
        <w:tc>
          <w:tcPr>
            <w:tcW w:type="dxa" w:w="7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Planung: Skizzen, Model und Messages, Aufgabenverteilung</w:t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off"/>
        </w:trPr>
        <w:tc>
          <w:tcPr>
            <w:tcW w:type="dxa" w:w="7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Funktion: alle Anforderungen aus Abschnitt 2 erfüllt</w:t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35</w:t>
            </w:r>
          </w:p>
        </w:tc>
      </w:tr>
      <w:tr>
        <w:trPr>
          <w:tblHeader w:val="off"/>
        </w:trPr>
        <w:tc>
          <w:tcPr>
            <w:tcW w:type="dxa" w:w="7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Umsetzung von MVU: ein Zustand, Update ohne Seiteneffekte, lesbarer Code</w:t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25</w:t>
            </w:r>
          </w:p>
        </w:tc>
      </w:tr>
      <w:tr>
        <w:trPr>
          <w:tblHeader w:val="off"/>
        </w:trPr>
        <w:tc>
          <w:tcPr>
            <w:tcW w:type="dxa" w:w="7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Präsentation und Kurzdokumentation</w:t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off"/>
        </w:trPr>
        <w:tc>
          <w:tcPr>
            <w:tcW w:type="dxa" w:w="75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Gesamt</w:t>
            </w:r>
          </w:p>
        </w:tc>
        <w:tc>
          <w:tcPr>
            <w:tcW w:type="dxa" w:w="15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100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t xml:space="preserve">Seite </w:t>
    </w: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sz w:val="18"/>
        <w:szCs w:val="18"/>
      </w:rPr>
      <w:t xml:space="preserve"> von </w:t>
    </w:r>
    <w:r>
      <w:rPr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0066AA"/>
        <w:sz w:val="18"/>
        <w:szCs w:val="18"/>
      </w:rPr>
      <w:t xml:space="preserve">bfw Lübeck · Umschulung FIAE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300"/>
      <w:outlineLvl w:val="0"/>
    </w:pPr>
    <w:rPr>
      <w:rFonts w:ascii="Calibri" w:cs="Calibri" w:eastAsia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Calibri" w:cs="Calibri" w:eastAsia="Calibri" w:hAnsi="Calibri"/>
      <w:b/>
      <w:bCs/>
      <w:color w:val="0066A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2026-10-20T07:15:31.527Z</dcterms:created>
  <dcterms:modified xsi:type="dcterms:W3CDTF">2026-10-20T07:15:31.538Z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