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0066AA" w:sz="6" w:space="6"/>
        </w:pBdr>
        <w:spacing w:after="0"/>
      </w:pPr>
      <w:r>
        <w:rPr>
          <w:b/>
          <w:bCs/>
          <w:color w:val="003366"/>
          <w:sz w:val="40"/>
          <w:szCs w:val="40"/>
        </w:rPr>
        <w:t xml:space="preserve">Etappe 5 – Barrierefreiheit</w:t>
      </w:r>
    </w:p>
    <w:p>
      <w:pPr>
        <w:spacing w:after="240" w:before="120"/>
      </w:pPr>
      <w:r>
        <w:rPr>
          <w:color w:val="555555"/>
          <w:sz w:val="24"/>
          <w:szCs w:val="24"/>
        </w:rPr>
        <w:t xml:space="preserve">Modul K (LF10) · Leitprojekt Nordfracht Logistik GmbH · Erklärkapitel</w:t>
      </w:r>
    </w:p>
    <w:p>
      <w:pPr>
        <w:pStyle w:val="Heading1"/>
      </w:pPr>
      <w:r>
        <w:t xml:space="preserve">Lernziele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t xml:space="preserve">Verstehen, warum eine Oberfläche barrierefrei sein sollte – und welcher rechtliche Rahmen gilt.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t xml:space="preserve">Die Oberfläche vollständig per Tastatur bedienbar machen (Tab-Reihenfolge, Zugriffstasten).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t xml:space="preserve">Beschriftungen so setzen, dass ein Screenreader die Felder ansagt.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t xml:space="preserve">Den Kontrast nach WCAG AA prüfen (Schwelle 4,5:1).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F0A500" w:sz="2"/>
              <w:left w:val="single" w:color="F0A500" w:sz="18"/>
              <w:bottom w:val="single" w:color="F0A500" w:sz="2"/>
              <w:right w:val="single" w:color="F0A500" w:sz="2"/>
            </w:tcBorders>
            <w:shd w:fill="FFF8E8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003366"/>
              </w:rPr>
              <w:t xml:space="preserve">Diese Etappe</w:t>
            </w:r>
          </w:p>
          <w:p>
            <w:pPr>
              <w:spacing w:after="40" w:line="270"/>
            </w:pPr>
            <w:r>
              <w:t xml:space="preserve">Es gibt keine neuen Unit-Tests – Barrierefreiheit steckt im XAML, nicht in der Logik. Die 16 Tests aus Etappe 3 müssen aber grün bleiben (Rückversicherung). Geprüft wird über den Selbstbewertungsbogen, einen reinen Tastatur-Test und eine Kontrastprüfung.</w:t>
            </w:r>
          </w:p>
        </w:tc>
      </w:tr>
    </w:tbl>
    <w:p>
      <w:pPr>
        <w:pStyle w:val="Heading1"/>
      </w:pPr>
      <w:r>
        <w:t xml:space="preserve">Warum Barrierefreiheit?</w:t>
      </w:r>
    </w:p>
    <w:p>
      <w:pPr>
        <w:spacing w:after="120" w:line="276"/>
      </w:pPr>
      <w:r>
        <w:t xml:space="preserve">Nicht jeder bedient eine Software mit Maus und scharfem Blick. Manche arbeiten nur mit der Tastatur, manche nutzen einen Screenreader, manche sehen Farben oder feine Kontraste schlecht. Barrierefreiheit heißt: die Anwendung bleibt auch dann benutzbar.</w:t>
      </w:r>
    </w:p>
    <w:p>
      <w:pPr>
        <w:spacing w:after="120" w:line="276"/>
      </w:pPr>
      <w:r>
        <w:t xml:space="preserve">Rahmen: International gelten die </w:t>
      </w:r>
      <w:r>
        <w:rPr>
          <w:b/>
          <w:bCs/>
        </w:rPr>
        <w:t xml:space="preserve">WCAG 2.1</w:t>
      </w:r>
      <w:r>
        <w:t xml:space="preserve"> (Web Content Accessibility Guidelines). In Deutschland verpflichtet die </w:t>
      </w:r>
      <w:r>
        <w:rPr>
          <w:b/>
          <w:bCs/>
        </w:rPr>
        <w:t xml:space="preserve">BITV 2.0</w:t>
      </w:r>
      <w:r>
        <w:t xml:space="preserve"> öffentliche Stellen, und seit dem 28. Juni 2025 verlangt das </w:t>
      </w:r>
      <w:r>
        <w:rPr>
          <w:b/>
          <w:bCs/>
        </w:rPr>
        <w:t xml:space="preserve">Barrierefreiheitsstärkungsgesetz (BFSG)</w:t>
      </w:r>
      <w:r>
        <w:t xml:space="preserve"> – die Umsetzung des European Accessibility Act – Barrierefreiheit auch von vielen privaten Anbietern. Das Thema ist also nicht nur „nett“, sondern zunehmend Pflicht.</w:t>
      </w:r>
    </w:p>
    <w:p>
      <w:pPr>
        <w:pStyle w:val="Heading1"/>
      </w:pPr>
      <w:r>
        <w:t xml:space="preserve">Drei Baustellen an eurer Oberfläche</w:t>
      </w:r>
    </w:p>
    <w:p>
      <w:pPr>
        <w:pStyle w:val="Heading2"/>
      </w:pPr>
      <w:r>
        <w:t xml:space="preserve">1. Tastaturbedienung</w:t>
      </w:r>
    </w:p>
    <w:p>
      <w:pPr>
        <w:spacing w:after="120" w:line="276"/>
      </w:pPr>
      <w:r>
        <w:t xml:space="preserve">Jede Funktion muss ohne Maus erreichbar sein. Zwei Werkzeuge: Mit </w:t>
      </w:r>
      <w:r>
        <w:rPr>
          <w:b/>
          <w:bCs/>
        </w:rPr>
        <w:t xml:space="preserve">TabIndex</w:t>
      </w:r>
      <w:r>
        <w:t xml:space="preserve"> legt ihr die Reihenfolge fest, in der die Tab-Taste durch die Bedienelemente springt – sinnvoll ist die Lesereihenfolge von oben nach unten. Mit </w:t>
      </w:r>
      <w:r>
        <w:rPr>
          <w:b/>
          <w:bCs/>
        </w:rPr>
        <w:t xml:space="preserve">Zugriffstasten</w:t>
      </w:r>
      <w:r>
        <w:t xml:space="preserve"> (ein Unterstrich vor einem Buchstaben im Content, z. B. </w:t>
      </w:r>
      <w:r>
        <w:rPr>
          <w:rFonts w:ascii="Consolas" w:cs="Consolas" w:eastAsia="Consolas" w:hAnsi="Consolas"/>
          <w:sz w:val="19"/>
          <w:szCs w:val="19"/>
        </w:rPr>
        <w:t xml:space="preserve">_Hinzufügen</w:t>
      </w:r>
      <w:r>
        <w:t xml:space="preserve">) springt der Benutzer per Alt+Buchstabe direkt zum Element. Wichtig: Zugriffstasten müssen im Fenster eindeutig sein.</w:t>
      </w:r>
    </w:p>
    <w:p>
      <w:pPr>
        <w:pStyle w:val="Heading2"/>
      </w:pPr>
      <w:r>
        <w:t xml:space="preserve">2. Beschriftungen für Screenreader</w:t>
      </w:r>
    </w:p>
    <w:p>
      <w:pPr>
        <w:spacing w:after="120" w:line="276"/>
      </w:pPr>
      <w:r>
        <w:t xml:space="preserve">Ein </w:t>
      </w:r>
      <w:r>
        <w:rPr>
          <w:rFonts w:ascii="Consolas" w:cs="Consolas" w:eastAsia="Consolas" w:hAnsi="Consolas"/>
          <w:sz w:val="19"/>
          <w:szCs w:val="19"/>
        </w:rPr>
        <w:t xml:space="preserve">TextBlock</w:t>
      </w:r>
      <w:r>
        <w:t xml:space="preserve"> neben einem Eingabefeld sieht aus wie eine Beschriftung – technisch ist er es aber nicht. Ein Screenreader liest beim Feld dann nur „Textfeld“, ohne zu wissen, wofür es da ist.</w:t>
      </w:r>
    </w:p>
    <w:p>
      <w:pPr>
        <w:spacing w:after="120" w:line="276"/>
      </w:pPr>
      <w:r>
        <w:t xml:space="preserve">Die saubere Lösung in WPF: ein </w:t>
      </w:r>
      <w:r>
        <w:rPr>
          <w:rFonts w:ascii="Consolas" w:cs="Consolas" w:eastAsia="Consolas" w:hAnsi="Consolas"/>
          <w:sz w:val="19"/>
          <w:szCs w:val="19"/>
        </w:rPr>
        <w:t xml:space="preserve">Label</w:t>
      </w:r>
      <w:r>
        <w:t xml:space="preserve"> mit </w:t>
      </w:r>
      <w:r>
        <w:rPr>
          <w:rFonts w:ascii="Consolas" w:cs="Consolas" w:eastAsia="Consolas" w:hAnsi="Consolas"/>
          <w:sz w:val="19"/>
          <w:szCs w:val="19"/>
        </w:rPr>
        <w:t xml:space="preserve">Target</w:t>
      </w:r>
      <w:r>
        <w:t xml:space="preserve">, das auf das benannte Feld zeigt. Das verknüpft Beschriftung und Feld programmatisch – der Screenreader sagt jetzt die Beschriftung an. Und weil das Label zugleich die Zugriffstaste trägt, erschlagt ihr damit zwei Fliegen mit einer Klappe:</w:t>
      </w:r>
    </w:p>
    <w:p>
      <w:pPr>
        <w:spacing w:after="20"/>
      </w:pPr>
    </w:p>
    <w:p>
      <w:pPr>
        <w:shd w:fill="EEF5FB" w:val="clear"/>
        <w:spacing w:after="0" w:before="0" w:line="250"/>
        <w:ind w:left="160"/>
      </w:pPr>
      <w:r>
        <w:rPr>
          <w:rFonts w:ascii="Consolas" w:cs="Consolas" w:eastAsia="Consolas" w:hAnsi="Consolas"/>
          <w:color w:val="1A1A1A"/>
          <w:sz w:val="18"/>
          <w:szCs w:val="18"/>
        </w:rPr>
        <w:t xml:space="preserve">&lt;Label Target="{Binding ElementName=txtNummer}" Content="_Sendungsnummer" /&gt;</w:t>
      </w:r>
    </w:p>
    <w:p>
      <w:pPr>
        <w:shd w:fill="EEF5FB" w:val="clear"/>
        <w:spacing w:after="0" w:before="0" w:line="250"/>
        <w:ind w:left="160"/>
      </w:pPr>
      <w:r>
        <w:rPr>
          <w:rFonts w:ascii="Consolas" w:cs="Consolas" w:eastAsia="Consolas" w:hAnsi="Consolas"/>
          <w:color w:val="1A1A1A"/>
          <w:sz w:val="18"/>
          <w:szCs w:val="18"/>
        </w:rPr>
        <w:t xml:space="preserve">&lt;TextBox x:Name="txtNummer" Text="{Binding Eingabe.Sendungsnummer, ...}" /&gt;</w:t>
      </w:r>
    </w:p>
    <w:p>
      <w:pPr>
        <w:spacing w:after="120"/>
      </w:pPr>
    </w:p>
    <w:p>
      <w:pPr>
        <w:pStyle w:val="Heading2"/>
      </w:pPr>
      <w:r>
        <w:t xml:space="preserve">3. Kontrast</w:t>
      </w:r>
    </w:p>
    <w:p>
      <w:pPr>
        <w:spacing w:after="120" w:line="276"/>
      </w:pPr>
      <w:r>
        <w:t xml:space="preserve">Text muss sich deutlich vom Hintergrund abheben. WCAG AA verlangt mindestens </w:t>
      </w:r>
      <w:r>
        <w:rPr>
          <w:b/>
          <w:bCs/>
        </w:rPr>
        <w:t xml:space="preserve">4,5:1</w:t>
      </w:r>
      <w:r>
        <w:t xml:space="preserve"> für normalen Text und </w:t>
      </w:r>
      <w:r>
        <w:rPr>
          <w:b/>
          <w:bCs/>
        </w:rPr>
        <w:t xml:space="preserve">3:1</w:t>
      </w:r>
      <w:r>
        <w:t xml:space="preserve"> für großen Text (ab 18 pt bzw. 14 pt fett). Prüft eure Farben mit einem Kontrast-Rechner. Deaktivierte Bedienelemente (z. B. der ausgegraute Button) sind von der Mindestanforderung ausgenommen.</w:t>
      </w:r>
    </w:p>
    <w:p>
      <w:r>
        <w:br w:type="page"/>
      </w:r>
    </w:p>
    <w:p>
      <w:pPr>
        <w:pStyle w:val="Heading1"/>
      </w:pPr>
      <w:r>
        <w:t xml:space="preserve">Eure Aufgaben</w:t>
      </w:r>
    </w:p>
    <w:p>
      <w:pPr>
        <w:spacing w:after="120" w:line="276"/>
      </w:pPr>
      <w:r>
        <w:rPr>
          <w:b/>
          <w:bCs/>
        </w:rPr>
        <w:t xml:space="preserve">Aufgabe 1. </w:t>
      </w:r>
      <w:r>
        <w:t xml:space="preserve">Wandelt die drei Beschriftungen (Sendungsnummer, Empfängerort, Gewicht) von TextBlock in Label mit Target um, gebt ihnen eine Zugriffstaste und benennt die zugehörigen TextBoxen mit x:Name.</w:t>
      </w:r>
    </w:p>
    <w:p>
      <w:pPr>
        <w:spacing w:after="120" w:line="276"/>
      </w:pPr>
      <w:r>
        <w:rPr>
          <w:b/>
          <w:bCs/>
        </w:rPr>
        <w:t xml:space="preserve">Aufgabe 2. </w:t>
      </w:r>
      <w:r>
        <w:t xml:space="preserve">Gebt den beiden Buttons und der Checkbox eindeutige Zugriffstasten.</w:t>
      </w:r>
    </w:p>
    <w:p>
      <w:pPr>
        <w:spacing w:after="120" w:line="276"/>
      </w:pPr>
      <w:r>
        <w:rPr>
          <w:b/>
          <w:bCs/>
        </w:rPr>
        <w:t xml:space="preserve">Aufgabe 3. </w:t>
      </w:r>
      <w:r>
        <w:t xml:space="preserve">Legt die Tab-Reihenfolge über TabIndex logisch fest (Liste, dann Formular von oben nach unten, dann Löschen).</w:t>
      </w:r>
    </w:p>
    <w:p>
      <w:pPr>
        <w:pStyle w:val="Heading1"/>
      </w:pPr>
      <w:r>
        <w:t xml:space="preserve">Selbstbewertungsbogen</w:t>
      </w:r>
    </w:p>
    <w:p>
      <w:pPr>
        <w:spacing w:after="120" w:line="276"/>
      </w:pPr>
      <w:r>
        <w:t xml:space="preserve">Startet die Anwendung und prüft jeden Punkt. Bedient dabei bewusst nur mit der Tastatur.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660"/>
        <w:gridCol w:w="1700"/>
      </w:tblGrid>
      <w:tr>
        <w:trPr>
          <w:tblHeader/>
        </w:trPr>
        <w:tc>
          <w:tcPr>
            <w:tcW w:type="dxa" w:w="76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21"/>
                <w:szCs w:val="21"/>
              </w:rPr>
              <w:t xml:space="preserve">Prüfpunkt</w:t>
            </w:r>
          </w:p>
        </w:tc>
        <w:tc>
          <w:tcPr>
            <w:tcW w:type="dxa" w:w="1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21"/>
                <w:szCs w:val="21"/>
              </w:rPr>
              <w:t xml:space="preserve">erfüllt?</w:t>
            </w:r>
          </w:p>
        </w:tc>
      </w:tr>
      <w:tr>
        <w:tc>
          <w:tcPr>
            <w:tcW w:type="dxa" w:w="76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Jedes Bedienelement ist mit Tab erreichbar (keine Maus nötig).</w:t>
            </w:r>
          </w:p>
        </w:tc>
        <w:tc>
          <w:tcPr>
            <w:tcW w:type="dxa" w:w="1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76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Die Tab-Reihenfolge ist logisch (oben nach unten).</w:t>
            </w:r>
          </w:p>
        </w:tc>
        <w:tc>
          <w:tcPr>
            <w:tcW w:type="dxa" w:w="1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76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Jede Zugriffstaste (Alt+Buchstabe) funktioniert und ist eindeutig.</w:t>
            </w:r>
          </w:p>
        </w:tc>
        <w:tc>
          <w:tcPr>
            <w:tcW w:type="dxa" w:w="1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76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Der Screenreader/Narrator sagt bei jedem Feld die Beschriftung an.</w:t>
            </w:r>
          </w:p>
        </w:tc>
        <w:tc>
          <w:tcPr>
            <w:tcW w:type="dxa" w:w="1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76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Jeder Text erfüllt mindestens 4,5:1 Kontrast.</w:t>
            </w:r>
          </w:p>
        </w:tc>
        <w:tc>
          <w:tcPr>
            <w:tcW w:type="dxa" w:w="1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</w:tr>
    </w:tbl>
    <w:p>
      <w:pPr>
        <w:pStyle w:val="Heading1"/>
      </w:pPr>
      <w:r>
        <w:t xml:space="preserve">Fertig, wenn …</w:t>
      </w:r>
    </w:p>
    <w:p>
      <w:pPr>
        <w:spacing w:after="120" w:line="276"/>
      </w:pPr>
      <w:r>
        <w:t xml:space="preserve">… der Selbstbewertungsbogen vollständig erfüllt ist, ihr die Oberfläche einmal komplett ohne Maus bedient habt und die 16 Tests aus Etappe 3 weiterhin grün sind.</w:t>
      </w:r>
    </w:p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066AA" w:sz="4" w:space="4"/>
      </w:pBdr>
      <w:tabs>
        <w:tab w:val="right" w:pos="9026"/>
      </w:tabs>
    </w:pPr>
    <w:r>
      <w:rPr>
        <w:color w:val="555555"/>
        <w:sz w:val="16"/>
        <w:szCs w:val="16"/>
      </w:rPr>
      <w:t xml:space="preserve">bfw Lübeck · Modul K (LF10) · Name: ____________ · Datum: __________</w:t>
    </w:r>
    <w:r>
      <w:rPr>
        <w:color w:val="555555"/>
        <w:sz w:val="16"/>
        <w:szCs w:val="16"/>
      </w:rPr>
      <w:t xml:space="preserve">	Seite </w:t>
    </w:r>
    <w:r>
      <w:rPr>
        <w:color w:val="555555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555555"/>
        <w:sz w:val="16"/>
        <w:szCs w:val="16"/>
      </w:rPr>
      <w:t xml:space="preserve"> von </w:t>
    </w:r>
    <w:r>
      <w:rPr>
        <w:color w:val="555555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026"/>
      </w:tabs>
    </w:pPr>
    <w:r>
      <w:rPr>
        <w:color w:val="0066AA"/>
        <w:sz w:val="16"/>
        <w:szCs w:val="16"/>
      </w:rPr>
      <w:t xml:space="preserve">Etappe 5 – Erklärkapitel</w:t>
    </w:r>
    <w:r>
      <w:rPr>
        <w:color w:val="555555"/>
        <w:sz w:val="16"/>
        <w:szCs w:val="16"/>
      </w:rPr>
      <w:t xml:space="preserve">	Nordfracht Logistik GmbH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00" w:hanging="3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10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11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1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1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1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1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1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00000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280"/>
      <w:outlineLvl w:val="0"/>
    </w:pPr>
    <w:rPr>
      <w:rFonts w:ascii="Calibri" w:cs="Calibri" w:eastAsia="Calibri" w:hAnsi="Calibri"/>
      <w:b/>
      <w:bCs/>
      <w:color w:val="003366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00" w:before="220"/>
      <w:outlineLvl w:val="1"/>
    </w:pPr>
    <w:rPr>
      <w:rFonts w:ascii="Calibri" w:cs="Calibri" w:eastAsia="Calibri" w:hAnsi="Calibri"/>
      <w:b/>
      <w:bCs/>
      <w:color w:val="0066A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  <w:outlineLvl w:val="2"/>
    </w:pPr>
    <w:rPr>
      <w:rFonts w:ascii="Calibri" w:cs="Calibri" w:eastAsia="Calibri" w:hAnsi="Calibri"/>
      <w:b/>
      <w:bCs/>
      <w:color w:val="003366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2026-06-10T12:41:59.099Z</dcterms:created>
  <dcterms:modified xsi:type="dcterms:W3CDTF">2026-06-10T12:41:59.099Z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