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03366"/>
          <w:sz w:val="36"/>
          <w:szCs w:val="36"/>
        </w:rPr>
        <w:t xml:space="preserve">GoF-Entwurfsmuster – Spickzettel für den Vortrag</w:t>
      </w:r>
    </w:p>
    <w:p>
      <w:pPr>
        <w:spacing w:after="80" w:before="0" w:line="264"/>
      </w:pPr>
      <w:r>
        <w:rPr>
          <w:color w:val="666666"/>
          <w:sz w:val="17"/>
          <w:szCs w:val="17"/>
        </w:rPr>
        <w:t xml:space="preserve">GoF Design Patterns · ca. 45 Minuten · Demo: Nordfracht Logistik GmbH (3 Konsolenprojekte, 9 Muster)</w:t>
      </w:r>
    </w:p>
    <w:p>
      <w:pPr>
        <w:pStyle w:val="Heading1"/>
        <w:keepNext/>
        <w:pBdr>
          <w:bottom w:val="single" w:color="F0A500" w:sz="8" w:space="2"/>
        </w:pBdr>
        <w:spacing w:after="120" w:before="90"/>
      </w:pPr>
      <w:r>
        <w:rPr>
          <w:b/>
          <w:bCs/>
          <w:color w:val="003366"/>
          <w:sz w:val="22"/>
          <w:szCs w:val="22"/>
        </w:rPr>
        <w:t xml:space="preserve">Ablauf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1450"/>
        <w:gridCol w:w="4256"/>
        <w:gridCol w:w="2700"/>
      </w:tblGrid>
      <w:tr>
        <w:trPr>
          <w:tblHeader/>
        </w:trPr>
        <w:tc>
          <w:tcPr>
            <w:tcW w:type="dxa" w:w="62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Min</w:t>
            </w:r>
          </w:p>
        </w:tc>
        <w:tc>
          <w:tcPr>
            <w:tcW w:type="dxa" w:w="14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Block</w:t>
            </w:r>
          </w:p>
        </w:tc>
        <w:tc>
          <w:tcPr>
            <w:tcW w:type="dxa" w:w="425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Stichpunkte zum Ablesen</w:t>
            </w:r>
          </w:p>
        </w:tc>
        <w:tc>
          <w:tcPr>
            <w:tcW w:type="dxa" w:w="27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Überleitung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0–4</w:t>
            </w:r>
          </w:p>
        </w:tc>
        <w:tc>
          <w:tcPr>
            <w:tcW w:type="dxa" w:w="14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Einstieg</w:t>
            </w:r>
          </w:p>
        </w:tc>
        <w:tc>
          <w:tcPr>
            <w:tcW w:type="dxa" w:w="425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Frage: „Wer hat schon ein Entwurfsmuster benutzt?“ → Alle: </w:t>
            </w: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foreach</w:t>
            </w:r>
            <w:r>
              <w:rPr>
                <w:sz w:val="15"/>
                <w:szCs w:val="15"/>
              </w:rPr>
              <w:t xml:space="preserve"> = Iterator, </w:t>
            </w: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event</w:t>
            </w:r>
            <w:r>
              <w:rPr>
                <w:sz w:val="15"/>
                <w:szCs w:val="15"/>
              </w:rPr>
              <w:t xml:space="preserve"> = Observer, </w:t>
            </w: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ICommand</w:t>
            </w:r>
            <w:r>
              <w:rPr>
                <w:sz w:val="15"/>
                <w:szCs w:val="15"/>
              </w:rPr>
              <w:t xml:space="preserve"> = Command</w:t>
            </w:r>
          </w:p>
        </w:tc>
        <w:tc>
          <w:tcPr>
            <w:tcW w:type="dxa" w:w="27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„Sie nutzen Muster längst – heute geben wir ihnen Namen.“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4–10</w:t>
            </w:r>
          </w:p>
        </w:tc>
        <w:tc>
          <w:tcPr>
            <w:tcW w:type="dxa" w:w="14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Was &amp; woher</w:t>
            </w:r>
          </w:p>
        </w:tc>
        <w:tc>
          <w:tcPr>
            <w:tcW w:type="dxa" w:w="425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Definition · 4 Elemente (Name, Problem, Lösung, Konsequenzen) · Alexander 1977 → GoF 1994</w:t>
            </w:r>
          </w:p>
        </w:tc>
        <w:tc>
          <w:tcPr>
            <w:tcW w:type="dxa" w:w="27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„Die GoF haben 23 Muster in drei Schubladen sortiert.“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10–14</w:t>
            </w:r>
          </w:p>
        </w:tc>
        <w:tc>
          <w:tcPr>
            <w:tcW w:type="dxa" w:w="14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Einordnung &amp; Prinzipien</w:t>
            </w:r>
          </w:p>
        </w:tc>
        <w:tc>
          <w:tcPr>
            <w:tcW w:type="dxa" w:w="425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Ebenen: Architektur (MVVM!) / Entwurf / Idiom · 3 Kategorien · Klassen- vs. Objektmuster · 2 GoF-Prinzipien</w:t>
            </w:r>
          </w:p>
        </w:tc>
        <w:tc>
          <w:tcPr>
            <w:tcW w:type="dxa" w:w="27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„Beginnen wir dort, wo Objekte entstehen.“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14–22</w:t>
            </w:r>
          </w:p>
        </w:tc>
        <w:tc>
          <w:tcPr>
            <w:tcW w:type="dxa" w:w="14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Erzeugungsmuster</w:t>
            </w:r>
          </w:p>
        </w:tc>
        <w:tc>
          <w:tcPr>
            <w:tcW w:type="dxa" w:w="425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Singleton · Factory Method · Builder · Demo 1</w:t>
            </w:r>
          </w:p>
        </w:tc>
        <w:tc>
          <w:tcPr>
            <w:tcW w:type="dxa" w:w="27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„Objekte sind da – wie stecken wir sie zusammen?“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22–30</w:t>
            </w:r>
          </w:p>
        </w:tc>
        <w:tc>
          <w:tcPr>
            <w:tcW w:type="dxa" w:w="14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Strukturmuster</w:t>
            </w:r>
          </w:p>
        </w:tc>
        <w:tc>
          <w:tcPr>
            <w:tcW w:type="dxa" w:w="425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Adapter · Decorator · Facade · Demo 2 (Klassenexplosion-Frage)</w:t>
            </w:r>
          </w:p>
        </w:tc>
        <w:tc>
          <w:tcPr>
            <w:tcW w:type="dxa" w:w="27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„Und wie arbeiten sie zusammen?“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30–38</w:t>
            </w:r>
          </w:p>
        </w:tc>
        <w:tc>
          <w:tcPr>
            <w:tcW w:type="dxa" w:w="14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Verhaltensmuster</w:t>
            </w:r>
          </w:p>
        </w:tc>
        <w:tc>
          <w:tcPr>
            <w:tcW w:type="dxa" w:w="425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Strategy · Observer · Command · Demo 3 (Beobachter live ergänzen)</w:t>
            </w:r>
          </w:p>
        </w:tc>
        <w:tc>
          <w:tcPr>
            <w:tcW w:type="dxa" w:w="27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„Klingt gut – kann man es übertreiben? Ja.“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38–42</w:t>
            </w:r>
          </w:p>
        </w:tc>
        <w:tc>
          <w:tcPr>
            <w:tcW w:type="dxa" w:w="14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Kritik &amp; Prüfung</w:t>
            </w:r>
          </w:p>
        </w:tc>
        <w:tc>
          <w:tcPr>
            <w:tcW w:type="dxa" w:w="425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Overengineering · Singleton als Antimuster · moderne Sprachen machen Muster überflüssig · AP2: Muster in UML/Code erkennen</w:t>
            </w:r>
          </w:p>
        </w:tc>
        <w:tc>
          <w:tcPr>
            <w:tcW w:type="dxa" w:w="27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„Und was kommt nach der GoF?“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42–45</w:t>
            </w:r>
          </w:p>
        </w:tc>
        <w:tc>
          <w:tcPr>
            <w:tcW w:type="dxa" w:w="14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Ausblick &amp; Fazit</w:t>
            </w:r>
          </w:p>
        </w:tc>
        <w:tc>
          <w:tcPr>
            <w:tcW w:type="dxa" w:w="425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Architektur-, Enterprise-, Cloud-Muster · Fragen</w:t>
            </w:r>
          </w:p>
        </w:tc>
        <w:tc>
          <w:tcPr>
            <w:tcW w:type="dxa" w:w="27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„Muster sind Vokabeln. Wer sie kennt, redet schneller über Entwürfe.“</w:t>
            </w:r>
          </w:p>
        </w:tc>
      </w:tr>
    </w:tbl>
    <w:p>
      <w:pPr>
        <w:pStyle w:val="Heading1"/>
        <w:keepNext/>
        <w:pBdr>
          <w:bottom w:val="single" w:color="F0A500" w:sz="8" w:space="2"/>
        </w:pBdr>
        <w:spacing w:after="120" w:before="90"/>
      </w:pPr>
      <w:r>
        <w:rPr>
          <w:b/>
          <w:bCs/>
          <w:color w:val="003366"/>
          <w:sz w:val="22"/>
          <w:szCs w:val="22"/>
        </w:rPr>
        <w:t xml:space="preserve">Zeitstrahl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126"/>
      </w:tblGrid>
      <w:tr>
        <w:trPr>
          <w:tblHeader/>
        </w:trPr>
        <w:tc>
          <w:tcPr>
            <w:tcW w:type="dxa" w:w="9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Jahr</w:t>
            </w:r>
          </w:p>
        </w:tc>
        <w:tc>
          <w:tcPr>
            <w:tcW w:type="dxa" w:w="81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Ereignis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1977</w:t>
            </w:r>
          </w:p>
        </w:tc>
        <w:tc>
          <w:tcPr>
            <w:tcW w:type="dxa" w:w="81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Architekt </w:t>
            </w:r>
            <w:r>
              <w:rPr>
                <w:b/>
                <w:bCs/>
                <w:sz w:val="15"/>
                <w:szCs w:val="15"/>
              </w:rPr>
              <w:t xml:space="preserve">Christopher Alexander</w:t>
            </w:r>
            <w:r>
              <w:rPr>
                <w:sz w:val="15"/>
                <w:szCs w:val="15"/>
              </w:rPr>
              <w:t xml:space="preserve">: „A Pattern Language“ – 253 Muster für Städte und Gebäude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1987</w:t>
            </w:r>
          </w:p>
        </w:tc>
        <w:tc>
          <w:tcPr>
            <w:tcW w:type="dxa" w:w="81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Erste Übertragung der Musteridee auf Software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1994</w:t>
            </w:r>
          </w:p>
        </w:tc>
        <w:tc>
          <w:tcPr>
            <w:tcW w:type="dxa" w:w="81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„Gang of Four“</w:t>
            </w:r>
            <w:r>
              <w:rPr>
                <w:sz w:val="15"/>
                <w:szCs w:val="15"/>
              </w:rPr>
              <w:t xml:space="preserve">: Buch „Design Patterns“ – 23 Muster in 3 Kategorien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1996</w:t>
            </w:r>
          </w:p>
        </w:tc>
        <w:tc>
          <w:tcPr>
            <w:tcW w:type="dxa" w:w="81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Katalog der </w:t>
            </w:r>
            <w:r>
              <w:rPr>
                <w:b/>
                <w:bCs/>
                <w:sz w:val="15"/>
                <w:szCs w:val="15"/>
              </w:rPr>
              <w:t xml:space="preserve">Architekturmuster</w:t>
            </w:r>
            <w:r>
              <w:rPr>
                <w:sz w:val="15"/>
                <w:szCs w:val="15"/>
              </w:rPr>
              <w:t xml:space="preserve"> (Schichten, MVC …) · erste Kritik: in dynamischen Sprachen sind viele Muster überflüssig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ab 2000</w:t>
            </w:r>
          </w:p>
        </w:tc>
        <w:tc>
          <w:tcPr>
            <w:tcW w:type="dxa" w:w="81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Muster für Unternehmensanwendungen (Repository, Unit of Work) und später Cloud-Muster</w:t>
            </w:r>
          </w:p>
        </w:tc>
      </w:tr>
    </w:tbl>
    <w:p>
      <w:pPr>
        <w:pStyle w:val="Heading1"/>
        <w:keepNext/>
        <w:pBdr>
          <w:bottom w:val="single" w:color="F0A500" w:sz="8" w:space="2"/>
        </w:pBdr>
        <w:spacing w:after="120" w:before="90"/>
      </w:pPr>
      <w:r>
        <w:rPr>
          <w:b/>
          <w:bCs/>
          <w:color w:val="003366"/>
          <w:sz w:val="22"/>
          <w:szCs w:val="22"/>
        </w:rPr>
        <w:t xml:space="preserve">Die 23 GoF-Muster nach Kategorie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50"/>
        <w:gridCol w:w="2750"/>
        <w:gridCol w:w="3526"/>
      </w:tblGrid>
      <w:tr>
        <w:trPr>
          <w:tblHeader/>
        </w:trPr>
        <w:tc>
          <w:tcPr>
            <w:tcW w:type="dxa" w:w="27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Erzeugungsmuster (5)</w:t>
            </w:r>
          </w:p>
        </w:tc>
        <w:tc>
          <w:tcPr>
            <w:tcW w:type="dxa" w:w="27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Strukturmuster (7)</w:t>
            </w:r>
          </w:p>
        </w:tc>
        <w:tc>
          <w:tcPr>
            <w:tcW w:type="dxa" w:w="35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Verhaltensmuster (11)</w:t>
            </w:r>
          </w:p>
        </w:tc>
      </w:tr>
      <w:tr>
        <w:trPr>
          <w:cantSplit/>
        </w:trPr>
        <w:tc>
          <w:tcPr>
            <w:tcW w:type="dxa" w:w="27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Wie entstehen Objekte?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Abstrakte Fabrik – Abstract Factory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Erbauer – Builder ★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Fabrikmethode – Factory Method ★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Prototyp – Prototype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Singleton ★</w:t>
            </w:r>
          </w:p>
        </w:tc>
        <w:tc>
          <w:tcPr>
            <w:tcW w:type="dxa" w:w="27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Wie werden Objekte zusammengesetzt?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Adapter ★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Brücke – Bridge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Kompositum – Composite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Dekorierer – Decorator ★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Fassade – Facade ★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Fliegengewicht – Flyweight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Stellvertreter – Proxy</w:t>
            </w:r>
          </w:p>
        </w:tc>
        <w:tc>
          <w:tcPr>
            <w:tcW w:type="dxa" w:w="35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Wie arbeiten Objekte zusammen?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Zuständigkeitskette – Chain of Responsibility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Befehl – Command ★ · Interpreter · Iterator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Vermittler – Mediator · Memento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Beobachter – Observer ★ · Zustand – State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Strategie – Strategy ★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Schablonenmethode – Template Method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Besucher – Visitor</w:t>
            </w:r>
          </w:p>
        </w:tc>
      </w:tr>
    </w:tbl>
    <w:p>
      <w:pPr>
        <w:spacing w:after="100" w:before="40" w:line="264"/>
      </w:pPr>
      <w:r>
        <w:rPr>
          <w:color w:val="666666"/>
          <w:sz w:val="15"/>
          <w:szCs w:val="15"/>
        </w:rPr>
        <w:t xml:space="preserve">★ = im Vortrag mit Demo · Klassenmuster (Vererbung, Compilezeit): Factory Method, Klassen-Adapter, Interpreter, Template Method – alle anderen sind Objektmuster.</w:t>
      </w:r>
    </w:p>
    <w:p>
      <w:pPr>
        <w:pStyle w:val="Heading1"/>
        <w:keepNext/>
        <w:pBdr>
          <w:bottom w:val="single" w:color="F0A500" w:sz="8" w:space="2"/>
        </w:pBdr>
        <w:spacing w:after="120" w:before="90"/>
      </w:pPr>
      <w:r>
        <w:rPr>
          <w:b/>
          <w:bCs/>
          <w:color w:val="003366"/>
          <w:sz w:val="22"/>
          <w:szCs w:val="22"/>
        </w:rPr>
        <w:t xml:space="preserve">Die 9 Kernmuster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2250"/>
        <w:gridCol w:w="2600"/>
        <w:gridCol w:w="2826"/>
      </w:tblGrid>
      <w:tr>
        <w:trPr>
          <w:tblHeader/>
        </w:trPr>
        <w:tc>
          <w:tcPr>
            <w:tcW w:type="dxa" w:w="13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Muster (EN / DE)</w:t>
            </w:r>
          </w:p>
        </w:tc>
        <w:tc>
          <w:tcPr>
            <w:tcW w:type="dxa" w:w="22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Problem</w:t>
            </w:r>
          </w:p>
        </w:tc>
        <w:tc>
          <w:tcPr>
            <w:tcW w:type="dxa" w:w="26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Lösung</w:t>
            </w:r>
          </w:p>
        </w:tc>
        <w:tc>
          <w:tcPr>
            <w:tcW w:type="dxa" w:w="28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Erkennen am</w:t>
            </w:r>
          </w:p>
        </w:tc>
      </w:tr>
      <w:tr>
        <w:trPr>
          <w:cantSplit/>
        </w:trPr>
        <w:tc>
          <w:tcPr>
            <w:tcW w:type="dxa" w:w="13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D6E4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Singleton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Singleton</w:t>
            </w:r>
          </w:p>
        </w:tc>
        <w:tc>
          <w:tcPr>
            <w:tcW w:type="dxa" w:w="22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genau eine Instanz, global erreichbar</w:t>
            </w:r>
          </w:p>
        </w:tc>
        <w:tc>
          <w:tcPr>
            <w:tcW w:type="dxa" w:w="26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privater Konstruktor + statische Instanz</w:t>
            </w:r>
          </w:p>
        </w:tc>
        <w:tc>
          <w:tcPr>
            <w:tcW w:type="dxa" w:w="28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private Konfiguration()</w:t>
            </w:r>
            <w:r>
              <w:rPr>
                <w:sz w:val="15"/>
                <w:szCs w:val="15"/>
              </w:rPr>
              <w:t xml:space="preserve">, </w:t>
            </w: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static Instanz</w:t>
            </w:r>
          </w:p>
        </w:tc>
      </w:tr>
      <w:tr>
        <w:trPr>
          <w:cantSplit/>
        </w:trPr>
        <w:tc>
          <w:tcPr>
            <w:tcW w:type="dxa" w:w="13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D6E4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Factory Method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Fabrikmethode</w:t>
            </w:r>
          </w:p>
        </w:tc>
        <w:tc>
          <w:tcPr>
            <w:tcW w:type="dxa" w:w="22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Ablauf fix, erzeugter Typ variiert</w:t>
            </w:r>
          </w:p>
        </w:tc>
        <w:tc>
          <w:tcPr>
            <w:tcW w:type="dxa" w:w="26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abstrakte Erzeugungsmethode, Unterklassen entscheiden</w:t>
            </w:r>
          </w:p>
        </w:tc>
        <w:tc>
          <w:tcPr>
            <w:tcW w:type="dxa" w:w="28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abstract ... Erzeuge...()</w:t>
            </w:r>
            <w:r>
              <w:rPr>
                <w:sz w:val="15"/>
                <w:szCs w:val="15"/>
              </w:rPr>
              <w:t xml:space="preserve"> + Unterklassen</w:t>
            </w:r>
          </w:p>
        </w:tc>
      </w:tr>
      <w:tr>
        <w:trPr>
          <w:cantSplit/>
        </w:trPr>
        <w:tc>
          <w:tcPr>
            <w:tcW w:type="dxa" w:w="13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D6E4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Builder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Erbauer</w:t>
            </w:r>
          </w:p>
        </w:tc>
        <w:tc>
          <w:tcPr>
            <w:tcW w:type="dxa" w:w="22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viele optionale Parameter</w:t>
            </w:r>
          </w:p>
        </w:tc>
        <w:tc>
          <w:tcPr>
            <w:tcW w:type="dxa" w:w="26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schrittweiser Aufbau, </w:t>
            </w: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Build()</w:t>
            </w:r>
            <w:r>
              <w:rPr>
                <w:sz w:val="15"/>
                <w:szCs w:val="15"/>
              </w:rPr>
              <w:t xml:space="preserve"> prüft</w:t>
            </w:r>
          </w:p>
        </w:tc>
        <w:tc>
          <w:tcPr>
            <w:tcW w:type="dxa" w:w="28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Methodenkette </w:t>
            </w: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.Mit...().Build()</w:t>
            </w:r>
          </w:p>
        </w:tc>
      </w:tr>
      <w:tr>
        <w:trPr>
          <w:cantSplit/>
        </w:trPr>
        <w:tc>
          <w:tcPr>
            <w:tcW w:type="dxa" w:w="13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D6E4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Adapter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Adapter</w:t>
            </w:r>
          </w:p>
        </w:tc>
        <w:tc>
          <w:tcPr>
            <w:tcW w:type="dxa" w:w="22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Schnittstelle passt nicht</w:t>
            </w:r>
          </w:p>
        </w:tc>
        <w:tc>
          <w:tcPr>
            <w:tcW w:type="dxa" w:w="26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Übersetzerklasse implementiert Ziel-Interface</w:t>
            </w:r>
          </w:p>
        </w:tc>
        <w:tc>
          <w:tcPr>
            <w:tcW w:type="dxa" w:w="28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implementiert A, hält B</w:t>
            </w:r>
          </w:p>
        </w:tc>
      </w:tr>
      <w:tr>
        <w:trPr>
          <w:cantSplit/>
        </w:trPr>
        <w:tc>
          <w:tcPr>
            <w:tcW w:type="dxa" w:w="13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D6E4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Decorator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Dekorierer</w:t>
            </w:r>
          </w:p>
        </w:tc>
        <w:tc>
          <w:tcPr>
            <w:tcW w:type="dxa" w:w="22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frei kombinierbare Zusätze</w:t>
            </w:r>
          </w:p>
        </w:tc>
        <w:tc>
          <w:tcPr>
            <w:tcW w:type="dxa" w:w="26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Hülle um gleiches Interface</w:t>
            </w:r>
          </w:p>
        </w:tc>
        <w:tc>
          <w:tcPr>
            <w:tcW w:type="dxa" w:w="28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implementiert X und bekommt X im Konstruktor</w:t>
            </w:r>
          </w:p>
        </w:tc>
      </w:tr>
      <w:tr>
        <w:trPr>
          <w:cantSplit/>
        </w:trPr>
        <w:tc>
          <w:tcPr>
            <w:tcW w:type="dxa" w:w="13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D6E4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Facade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Fassade</w:t>
            </w:r>
          </w:p>
        </w:tc>
        <w:tc>
          <w:tcPr>
            <w:tcW w:type="dxa" w:w="22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komplexes Subsystem</w:t>
            </w:r>
          </w:p>
        </w:tc>
        <w:tc>
          <w:tcPr>
            <w:tcW w:type="dxa" w:w="26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eine einfache Einstiegsklasse</w:t>
            </w:r>
          </w:p>
        </w:tc>
        <w:tc>
          <w:tcPr>
            <w:tcW w:type="dxa" w:w="28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wenige Methoden, viele Objekte dahinter</w:t>
            </w:r>
          </w:p>
        </w:tc>
      </w:tr>
      <w:tr>
        <w:trPr>
          <w:cantSplit/>
        </w:trPr>
        <w:tc>
          <w:tcPr>
            <w:tcW w:type="dxa" w:w="13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D6E4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Strategy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Strategie</w:t>
            </w:r>
          </w:p>
        </w:tc>
        <w:tc>
          <w:tcPr>
            <w:tcW w:type="dxa" w:w="22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austauschbarer Algorithmus, </w:t>
            </w: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switch</w:t>
            </w:r>
            <w:r>
              <w:rPr>
                <w:sz w:val="15"/>
                <w:szCs w:val="15"/>
              </w:rPr>
              <w:t xml:space="preserve">-Wüste</w:t>
            </w:r>
          </w:p>
        </w:tc>
        <w:tc>
          <w:tcPr>
            <w:tcW w:type="dxa" w:w="26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Algorithmus in eigene Klassen</w:t>
            </w:r>
          </w:p>
        </w:tc>
        <w:tc>
          <w:tcPr>
            <w:tcW w:type="dxa" w:w="28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Interface mit 1 Methode, Kontext hält Referenz</w:t>
            </w:r>
          </w:p>
        </w:tc>
      </w:tr>
      <w:tr>
        <w:trPr>
          <w:cantSplit/>
        </w:trPr>
        <w:tc>
          <w:tcPr>
            <w:tcW w:type="dxa" w:w="13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D6E4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Observer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Beobachter</w:t>
            </w:r>
          </w:p>
        </w:tc>
        <w:tc>
          <w:tcPr>
            <w:tcW w:type="dxa" w:w="22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viele sollen bei Änderung reagieren</w:t>
            </w:r>
          </w:p>
        </w:tc>
        <w:tc>
          <w:tcPr>
            <w:tcW w:type="dxa" w:w="26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Subjekt verwaltet Liste von Beobachtern</w:t>
            </w:r>
          </w:p>
        </w:tc>
        <w:tc>
          <w:tcPr>
            <w:tcW w:type="dxa" w:w="28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Anmelden()</w:t>
            </w:r>
            <w:r>
              <w:rPr>
                <w:sz w:val="15"/>
                <w:szCs w:val="15"/>
              </w:rPr>
              <w:t xml:space="preserve">/</w:t>
            </w: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Abmelden()</w:t>
            </w:r>
            <w:r>
              <w:rPr>
                <w:sz w:val="15"/>
                <w:szCs w:val="15"/>
              </w:rPr>
              <w:t xml:space="preserve"> + Schleife</w:t>
            </w:r>
          </w:p>
        </w:tc>
      </w:tr>
      <w:tr>
        <w:trPr>
          <w:cantSplit/>
        </w:trPr>
        <w:tc>
          <w:tcPr>
            <w:tcW w:type="dxa" w:w="13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D6E4F0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Command</w:t>
            </w:r>
          </w:p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Befehl</w:t>
            </w:r>
          </w:p>
        </w:tc>
        <w:tc>
          <w:tcPr>
            <w:tcW w:type="dxa" w:w="225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Aktion speichern, rückgängig machen</w:t>
            </w:r>
          </w:p>
        </w:tc>
        <w:tc>
          <w:tcPr>
            <w:tcW w:type="dxa" w:w="26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Aktion als Objekt mit </w:t>
            </w: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Ausfuehren/Rueckgaengig</w:t>
            </w:r>
          </w:p>
        </w:tc>
        <w:tc>
          <w:tcPr>
            <w:tcW w:type="dxa" w:w="28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Interface Execute/Undo + Stack</w:t>
            </w:r>
          </w:p>
        </w:tc>
      </w:tr>
    </w:tbl>
    <w:p>
      <w:pPr>
        <w:pStyle w:val="Heading1"/>
        <w:keepNext/>
        <w:pBdr>
          <w:bottom w:val="single" w:color="F0A500" w:sz="8" w:space="2"/>
        </w:pBdr>
        <w:spacing w:after="120" w:before="90"/>
      </w:pPr>
      <w:r>
        <w:rPr>
          <w:b/>
          <w:bCs/>
          <w:color w:val="003366"/>
          <w:sz w:val="22"/>
          <w:szCs w:val="22"/>
        </w:rPr>
        <w:t xml:space="preserve">Prinzipien hinter den Mustern</w:t>
      </w:r>
    </w:p>
    <w:p>
      <w:pPr>
        <w:pStyle w:val="ListParagraph"/>
        <w:numPr>
          <w:ilvl w:val="0"/>
          <w:numId w:val="2"/>
        </w:numPr>
        <w:spacing w:after="50" w:line="252"/>
      </w:pPr>
      <w:r>
        <w:rPr>
          <w:b/>
          <w:bCs/>
          <w:sz w:val="17"/>
          <w:szCs w:val="17"/>
        </w:rPr>
        <w:t xml:space="preserve">Programmiere gegen eine Schnittstelle, nicht gegen eine Implementierung.</w:t>
      </w:r>
      <w:r>
        <w:rPr>
          <w:sz w:val="17"/>
          <w:szCs w:val="17"/>
        </w:rPr>
        <w:t xml:space="preserve"> (GoF)</w:t>
      </w:r>
    </w:p>
    <w:p>
      <w:pPr>
        <w:pStyle w:val="ListParagraph"/>
        <w:numPr>
          <w:ilvl w:val="0"/>
          <w:numId w:val="2"/>
        </w:numPr>
        <w:spacing w:after="50" w:line="252"/>
      </w:pPr>
      <w:r>
        <w:rPr>
          <w:b/>
          <w:bCs/>
          <w:sz w:val="17"/>
          <w:szCs w:val="17"/>
        </w:rPr>
        <w:t xml:space="preserve">Ziehe Objektkomposition der Klassenvererbung vor.</w:t>
      </w:r>
      <w:r>
        <w:rPr>
          <w:sz w:val="17"/>
          <w:szCs w:val="17"/>
        </w:rPr>
        <w:t xml:space="preserve"> (GoF) – Decorator statt Klassenexplosion.</w:t>
      </w:r>
    </w:p>
    <w:p>
      <w:pPr>
        <w:pStyle w:val="ListParagraph"/>
        <w:numPr>
          <w:ilvl w:val="0"/>
          <w:numId w:val="2"/>
        </w:numPr>
        <w:spacing w:after="50" w:line="252"/>
      </w:pPr>
      <w:r>
        <w:rPr>
          <w:b/>
          <w:bCs/>
          <w:sz w:val="17"/>
          <w:szCs w:val="17"/>
        </w:rPr>
        <w:t xml:space="preserve">Kapsle, was variiert.</w:t>
      </w:r>
      <w:r>
        <w:rPr>
          <w:sz w:val="17"/>
          <w:szCs w:val="17"/>
        </w:rPr>
        <w:t xml:space="preserve"> – Strategy kapselt den Tarif, Factory Method den erzeugten Typ.</w:t>
      </w:r>
    </w:p>
    <w:p>
      <w:pPr>
        <w:pStyle w:val="ListParagraph"/>
        <w:numPr>
          <w:ilvl w:val="0"/>
          <w:numId w:val="2"/>
        </w:numPr>
        <w:spacing w:after="50" w:line="252"/>
      </w:pPr>
      <w:r>
        <w:rPr>
          <w:b/>
          <w:bCs/>
          <w:sz w:val="17"/>
          <w:szCs w:val="17"/>
        </w:rPr>
        <w:t xml:space="preserve">Offen für Erweiterung, geschlossen für Änderung</w:t>
      </w:r>
      <w:r>
        <w:rPr>
          <w:sz w:val="17"/>
          <w:szCs w:val="17"/>
        </w:rPr>
        <w:t xml:space="preserve"> (Open/Closed, SOLID) – neuer Beobachter, </w:t>
      </w:r>
      <w:r>
        <w:rPr>
          <w:rFonts w:ascii="Consolas" w:cs="Consolas" w:eastAsia="Consolas" w:hAnsi="Consolas"/>
          <w:color w:val="0066AA"/>
          <w:sz w:val="16"/>
          <w:szCs w:val="16"/>
        </w:rPr>
        <w:t xml:space="preserve">Sendung</w:t>
      </w:r>
      <w:r>
        <w:rPr>
          <w:sz w:val="17"/>
          <w:szCs w:val="17"/>
        </w:rPr>
        <w:t xml:space="preserve"> bleibt unverändert.</w:t>
      </w:r>
    </w:p>
    <w:p>
      <w:pPr>
        <w:pStyle w:val="Heading1"/>
        <w:keepNext/>
        <w:pBdr>
          <w:bottom w:val="single" w:color="F0A500" w:sz="8" w:space="2"/>
        </w:pBdr>
        <w:spacing w:after="120" w:before="90"/>
      </w:pPr>
      <w:r>
        <w:rPr>
          <w:b/>
          <w:bCs/>
          <w:color w:val="003366"/>
          <w:sz w:val="22"/>
          <w:szCs w:val="22"/>
        </w:rPr>
        <w:t xml:space="preserve">Demo-Checkliste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1100"/>
        <w:gridCol w:w="7526"/>
      </w:tblGrid>
      <w:tr>
        <w:trPr>
          <w:tblHeader/>
        </w:trPr>
        <w:tc>
          <w:tcPr>
            <w:tcW w:type="dxa" w:w="4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✓</w:t>
            </w:r>
          </w:p>
        </w:tc>
        <w:tc>
          <w:tcPr>
            <w:tcW w:type="dxa" w:w="11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Schritt</w:t>
            </w:r>
          </w:p>
        </w:tc>
        <w:tc>
          <w:tcPr>
            <w:tcW w:type="dxa" w:w="75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Was zeigen / sagen</w:t>
            </w:r>
          </w:p>
        </w:tc>
      </w:tr>
      <w:tr>
        <w:trPr>
          <w:cantSplit/>
        </w:trPr>
        <w:tc>
          <w:tcPr>
            <w:tcW w:type="dxa" w:w="4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Demo 1</w:t>
            </w:r>
          </w:p>
        </w:tc>
        <w:tc>
          <w:tcPr>
            <w:tcW w:type="dxa" w:w="75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new Konfiguration()</w:t>
            </w:r>
            <w:r>
              <w:rPr>
                <w:sz w:val="15"/>
                <w:szCs w:val="15"/>
              </w:rPr>
              <w:t xml:space="preserve"> einkommentieren → Compilerfehler · Builder: Konstruktor-Albtraum aus dem Kommentar vorlesen</w:t>
            </w:r>
          </w:p>
        </w:tc>
      </w:tr>
      <w:tr>
        <w:trPr>
          <w:cantSplit/>
        </w:trPr>
        <w:tc>
          <w:tcPr>
            <w:tcW w:type="dxa" w:w="4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Demo 2</w:t>
            </w:r>
          </w:p>
        </w:tc>
        <w:tc>
          <w:tcPr>
            <w:tcW w:type="dxa" w:w="75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Decorator-Zeile zeigen · Frage: „Wie viele Klassen mit Vererbung?“ → 8 bei 3 Zusätzen, 16 bei 4</w:t>
            </w:r>
          </w:p>
        </w:tc>
      </w:tr>
      <w:tr>
        <w:trPr>
          <w:cantSplit/>
        </w:trPr>
        <w:tc>
          <w:tcPr>
            <w:tcW w:type="dxa" w:w="4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Demo 3</w:t>
            </w:r>
          </w:p>
        </w:tc>
        <w:tc>
          <w:tcPr>
            <w:tcW w:type="dxa" w:w="75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sz w:val="15"/>
                <w:szCs w:val="15"/>
              </w:rPr>
              <w:t xml:space="preserve">Live </w:t>
            </w: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LogBeobachter</w:t>
            </w:r>
            <w:r>
              <w:rPr>
                <w:sz w:val="15"/>
                <w:szCs w:val="15"/>
              </w:rPr>
              <w:t xml:space="preserve"> ergänzen, ohne </w:t>
            </w: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Sendung</w:t>
            </w:r>
            <w:r>
              <w:rPr>
                <w:sz w:val="15"/>
                <w:szCs w:val="15"/>
              </w:rPr>
              <w:t xml:space="preserve"> zu ändern · Command: zweimal Rückgängig · Brücke MVVM: Observer = </w:t>
            </w: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INotifyPropertyChanged</w:t>
            </w:r>
            <w:r>
              <w:rPr>
                <w:sz w:val="15"/>
                <w:szCs w:val="15"/>
              </w:rPr>
              <w:t xml:space="preserve">, Command = </w:t>
            </w:r>
            <w:r>
              <w:rPr>
                <w:rFonts w:ascii="Consolas" w:cs="Consolas" w:eastAsia="Consolas" w:hAnsi="Consolas"/>
                <w:color w:val="0066AA"/>
                <w:sz w:val="14"/>
                <w:szCs w:val="14"/>
              </w:rPr>
              <w:t xml:space="preserve">ICommand</w:t>
            </w:r>
          </w:p>
        </w:tc>
      </w:tr>
    </w:tbl>
    <w:p>
      <w:pPr>
        <w:pStyle w:val="Heading1"/>
        <w:keepNext/>
        <w:pBdr>
          <w:bottom w:val="single" w:color="F0A500" w:sz="8" w:space="2"/>
        </w:pBdr>
        <w:spacing w:after="120" w:before="90"/>
      </w:pPr>
      <w:r>
        <w:rPr>
          <w:b/>
          <w:bCs/>
          <w:color w:val="003366"/>
          <w:sz w:val="22"/>
          <w:szCs w:val="22"/>
        </w:rPr>
        <w:t xml:space="preserve">Kritik &amp; mögliche Fragen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26"/>
      </w:tblGrid>
      <w:tr>
        <w:trPr>
          <w:tblHeader/>
        </w:trPr>
        <w:tc>
          <w:tcPr>
            <w:tcW w:type="dxa" w:w="27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Frage</w:t>
            </w:r>
          </w:p>
        </w:tc>
        <w:tc>
          <w:tcPr>
            <w:tcW w:type="dxa" w:w="63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003366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Antwort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Muss ich alle 23 kennen?</w:t>
            </w:r>
          </w:p>
        </w:tc>
        <w:tc>
          <w:tcPr>
            <w:tcW w:type="dxa" w:w="63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 w:val="false"/>
                <w:bCs w:val="false"/>
                <w:sz w:val="15"/>
                <w:szCs w:val="15"/>
              </w:rPr>
              <w:t xml:space="preserve">Nein. 8–10 sicher, den Rest wiedererkennen. Wichtiger: das Problem hinter dem Muster.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Ist Singleton schlecht?</w:t>
            </w:r>
          </w:p>
        </w:tc>
        <w:tc>
          <w:tcPr>
            <w:tcW w:type="dxa" w:w="63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 w:val="false"/>
                <w:bCs w:val="false"/>
                <w:sz w:val="15"/>
                <w:szCs w:val="15"/>
              </w:rPr>
              <w:t xml:space="preserve">Oft ja: globaler Zustand, schwer testbar. Besser: eine Instanz per Dependency Injection.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Adapter vs. Decorator vs. Proxy?</w:t>
            </w:r>
          </w:p>
        </w:tc>
        <w:tc>
          <w:tcPr>
            <w:tcW w:type="dxa" w:w="63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 w:val="false"/>
                <w:bCs w:val="false"/>
                <w:sz w:val="15"/>
                <w:szCs w:val="15"/>
              </w:rPr>
              <w:t xml:space="preserve">Adapter </w:t>
            </w:r>
            <w:r>
              <w:rPr>
                <w:b/>
                <w:bCs/>
                <w:sz w:val="15"/>
                <w:szCs w:val="15"/>
              </w:rPr>
              <w:t xml:space="preserve">ändert</w:t>
            </w:r>
            <w:r>
              <w:rPr>
                <w:b w:val="false"/>
                <w:bCs w:val="false"/>
                <w:sz w:val="15"/>
                <w:szCs w:val="15"/>
              </w:rPr>
              <w:t xml:space="preserve"> die Schnittstelle, Decorator </w:t>
            </w:r>
            <w:r>
              <w:rPr>
                <w:b/>
                <w:bCs/>
                <w:sz w:val="15"/>
                <w:szCs w:val="15"/>
              </w:rPr>
              <w:t xml:space="preserve">erweitert</w:t>
            </w:r>
            <w:r>
              <w:rPr>
                <w:b w:val="false"/>
                <w:bCs w:val="false"/>
                <w:sz w:val="15"/>
                <w:szCs w:val="15"/>
              </w:rPr>
              <w:t xml:space="preserve"> Verhalten, Proxy </w:t>
            </w:r>
            <w:r>
              <w:rPr>
                <w:b/>
                <w:bCs/>
                <w:sz w:val="15"/>
                <w:szCs w:val="15"/>
              </w:rPr>
              <w:t xml:space="preserve">kontrolliert</w:t>
            </w:r>
            <w:r>
              <w:rPr>
                <w:b w:val="false"/>
                <w:bCs w:val="false"/>
                <w:sz w:val="15"/>
                <w:szCs w:val="15"/>
              </w:rPr>
              <w:t xml:space="preserve"> Zugriff.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Strategy vs. State?</w:t>
            </w:r>
          </w:p>
        </w:tc>
        <w:tc>
          <w:tcPr>
            <w:tcW w:type="dxa" w:w="63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 w:val="false"/>
                <w:bCs w:val="false"/>
                <w:sz w:val="15"/>
                <w:szCs w:val="15"/>
              </w:rPr>
              <w:t xml:space="preserve">Gleiche Struktur. Strategy: Aufrufer wählt. State: Objekt wechselt selbst je nach Zustand.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Factory Method vs. Abstract Factory?</w:t>
            </w:r>
          </w:p>
        </w:tc>
        <w:tc>
          <w:tcPr>
            <w:tcW w:type="dxa" w:w="63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FFFFF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 w:val="false"/>
                <w:bCs w:val="false"/>
                <w:sz w:val="15"/>
                <w:szCs w:val="15"/>
              </w:rPr>
              <w:t xml:space="preserve">Factory Method: eine Methode, Vererbung. Abstract Factory: Objekt erzeugt ganze Produktfamilie.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/>
                <w:bCs/>
                <w:sz w:val="15"/>
                <w:szCs w:val="15"/>
              </w:rPr>
              <w:t xml:space="preserve">Wann KEIN Muster?</w:t>
            </w:r>
          </w:p>
        </w:tc>
        <w:tc>
          <w:tcPr>
            <w:tcW w:type="dxa" w:w="6326"/>
            <w:tcBorders>
              <w:top w:val="single" w:color="B8CCE0" w:sz="4"/>
              <w:left w:val="single" w:color="B8CCE0" w:sz="4"/>
              <w:bottom w:val="single" w:color="B8CCE0" w:sz="4"/>
              <w:right w:val="single" w:color="B8CCE0" w:sz="4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 w:line="240"/>
            </w:pPr>
            <w:r>
              <w:rPr>
                <w:b w:val="false"/>
                <w:bCs w:val="false"/>
                <w:sz w:val="15"/>
                <w:szCs w:val="15"/>
              </w:rPr>
              <w:t xml:space="preserve">Wenn es das Problem (noch) nicht gibt. Muster nachträglich einführen (Refactoring) ist normal.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2"/>
      </w:pBdr>
      <w:tabs>
        <w:tab w:val="center" w:pos="4513"/>
        <w:tab w:val="right" w:pos="9026"/>
      </w:tabs>
    </w:pPr>
    <w:r>
      <w:rPr>
        <w:color w:val="666666"/>
        <w:sz w:val="14"/>
        <w:szCs w:val="14"/>
      </w:rPr>
      <w:t xml:space="preserve">[Vorname Nachname]</w:t>
    </w:r>
    <w:r>
      <w:rPr>
        <w:color w:val="666666"/>
        <w:sz w:val="14"/>
        <w:szCs w:val="14"/>
      </w:rPr>
      <w:t xml:space="preserve">	Stand: September 2026</w:t>
    </w:r>
    <w:r>
      <w:rPr>
        <w:color w:val="666666"/>
        <w:sz w:val="14"/>
        <w:szCs w:val="14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3366" w:sz="6" w:space="2"/>
      </w:pBdr>
      <w:tabs>
        <w:tab w:val="right" w:pos="9026"/>
      </w:tabs>
    </w:pPr>
    <w:r>
      <w:rPr>
        <w:b/>
        <w:bCs/>
        <w:color w:val="003366"/>
        <w:sz w:val="14"/>
        <w:szCs w:val="14"/>
      </w:rPr>
      <w:t xml:space="preserve">GoF-Entwurfsmuster – Spickzettel</w:t>
    </w:r>
    <w:r>
      <w:rPr>
        <w:color w:val="666666"/>
        <w:sz w:val="14"/>
        <w:szCs w:val="14"/>
      </w:rPr>
      <w:t xml:space="preserve">	bfw Lübeck · IT-Umschulung FIAE/FISI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  <w:rPr>
        <w:color w:val="0066AA"/>
      </w:rPr>
    </w:lvl>
    <w:lvl w:ilvl="1" w15:tentative="1">
      <w:start w:val="1"/>
      <w:numFmt w:val="bullet"/>
      <w:lvlText w:val="–"/>
      <w:lvlJc w:val="left"/>
      <w:pPr>
        <w:ind w:left="720" w:hanging="2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0336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0336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0336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0336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003366"/>
      <w:sz w:val="30"/>
      <w:szCs w:val="3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066AA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GoF-Entwurfsmuster – Spickzettel</dc:title>
  <dc:creator>bfw Lübeck</dc:creator>
  <cp:lastModifiedBy>Un-named</cp:lastModifiedBy>
  <cp:revision>1</cp:revision>
  <dcterms:created xsi:type="dcterms:W3CDTF">2026-09-24T07:14:14.807Z</dcterms:created>
  <dcterms:modified xsi:type="dcterms:W3CDTF">2026-09-24T07:14:14.808Z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