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Subnetting &amp; VLSM – Netze planen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Handout · Subnetzmaske · Netze aufteilen · VLSM · IPv6-Präfixe</w:t>
      </w:r>
    </w:p>
    <w:p>
      <w:pPr>
        <w:spacing w:after="260"/>
      </w:pPr>
      <w:r>
        <w:rPr>
          <w:rFonts w:ascii="Calibri" w:cs="Calibri" w:eastAsia="Calibri" w:hAnsi="Calibri"/>
          <w:color w:val="4A5B6B"/>
          <w:sz w:val="19"/>
          <w:szCs w:val="19"/>
        </w:rPr>
        <w:t xml:space="preserve">Modul J / LF9 – Netzwerke und Dienste bereitstellen  ·  bfw Standort Lübeck  ·  FIAE / FISI</w:t>
      </w:r>
    </w:p>
    <w:p>
      <w:pPr>
        <w:pStyle w:val="Heading1"/>
      </w:pPr>
      <w:r>
        <w:t xml:space="preserve">1  Warum überhaupt Subnetze?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Netz wie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192.168.1.0/24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bietet 254 nutzbare Adressen. Alle Geräte darin liegen in einer gemeinsamen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Broadcast-Domäne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Jeder Broadcast erreicht jedes Gerät. Wächst das Netz, wächst diese Last – und jedes Gerät kann jedes andere direkt erreichen.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Subnetting zerlegt ein Netz in kleinere Teilnetze. Drei Gründe sprechen dafür: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Weniger Broadcast-Last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jedes Subnetz ist eine eigene Broadcast-Domäne.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Trennung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Verkehr zwischen Subnetzen läuft über einen Router und lässt sich dort kontrollieren (z. B. Gäste-WLAN vom Firmennetz trennen).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Übersicht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Abteilungen, Standorte oder Gerätearten bekommen eigene Adressbereiche.</w:t>
      </w:r>
    </w:p>
    <w:p>
      <w:pPr>
        <w:spacing w:after="80"/>
      </w:pPr>
    </w:p>
    <w:p>
      <w:pPr>
        <w:pStyle w:val="Heading1"/>
      </w:pPr>
      <w:r>
        <w:t xml:space="preserve">2  Subnetzmaske und CIDR-Schreibweise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Jede IPv4-Adresse ist 32 Bit lang und zerfällt in zwei Teile: den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Netzanteil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(links) und den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Hostanteil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(rechts). Wo die Grenze liegt, legt die Subnetzmaske fest.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CIDR-Schreibweise (Classless Inter-Domain Routing)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gibt nur an, wie viele Bit zum Netzanteil gehören: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bedeutet 24 Netzbits und 8 Hostbits. Die gleichbedeutende Maske lautet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255.255.255.0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</w:t>
      </w:r>
    </w:p>
    <w:p>
      <w:pPr>
        <w:pBdr>
          <w:left w:val="single" w:color="0066AA" w:sz="18" w:space="10"/>
        </w:pBdr>
        <w:shd w:fill="D6E4F0" w:color="auto" w:val="clear"/>
        <w:spacing w:after="140" w:before="8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Merksatz: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Je länger das Präfix, desto kleiner das Netz.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ist groß,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/30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ist winzig. Verlängert man das Präfix um 1 Bit, halbiert sich das Netz.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Zwei Adressen jedes Subnetzes sind reserviert und nicht an Geräte vergebbar: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Netzadresse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alle Hostbits auf 0; bezeichnet das Netz selbst.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Broadcastadresse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alle Hostbits auf 1; erreicht alle Geräte im Subnetz.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Daraus folgt die Formel für die Zahl nutzbarer Hosts: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2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  <w:vertAlign w:val="superscript"/>
        </w:rPr>
        <w:t xml:space="preserve">h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 − 2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wobei </w:t>
      </w:r>
      <w:r>
        <w:rPr>
          <w:rFonts w:ascii="Calibri" w:cs="Calibri" w:eastAsia="Calibri" w:hAnsi="Calibri"/>
          <w:i/>
          <w:iCs/>
          <w:color w:val="1C2833"/>
          <w:sz w:val="22"/>
          <w:szCs w:val="22"/>
        </w:rPr>
        <w:t xml:space="preserve">h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die Anzahl der Hostbits ist.</w:t>
      </w:r>
    </w:p>
    <w:p>
      <w:pPr>
        <w:spacing w:after="80"/>
      </w:pPr>
    </w:p>
    <w:p>
      <w:pPr>
        <w:pStyle w:val="Heading1"/>
      </w:pPr>
      <w:r>
        <w:t xml:space="preserve">3  Die Blockgröße – der schnelle Rechenweg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Man muss nicht binär rechnen. Der praktische Weg führt über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Blockgröße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Sie gibt an, in welchen Schritten die Subnetze im letzten veränderlichen Oktett aufeinanderfolgen.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Blockgröße = 256 − letzter Wert der Subnetzmaske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92"/>
        <w:gridCol w:w="2895"/>
        <w:gridCol w:w="1533"/>
        <w:gridCol w:w="1533"/>
        <w:gridCol w:w="1873"/>
      </w:tblGrid>
      <w:tr>
        <w:trPr>
          <w:tblHeader/>
        </w:trPr>
        <w:tc>
          <w:tcPr>
            <w:tcW w:type="dxa" w:w="119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CIDR</w:t>
            </w:r>
          </w:p>
        </w:tc>
        <w:tc>
          <w:tcPr>
            <w:tcW w:type="dxa" w:w="2895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Subnetzmaske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Blockgröße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nutzb. Hosts</w:t>
            </w:r>
          </w:p>
        </w:tc>
        <w:tc>
          <w:tcPr>
            <w:tcW w:type="dxa" w:w="187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Subnetze je /24</w:t>
            </w:r>
          </w:p>
        </w:tc>
      </w:tr>
      <w:tr>
        <w:tc>
          <w:tcPr>
            <w:tcW w:type="dxa" w:w="119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/24</w:t>
            </w:r>
          </w:p>
        </w:tc>
        <w:tc>
          <w:tcPr>
            <w:tcW w:type="dxa" w:w="2895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255.255.255.0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256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254</w:t>
            </w:r>
          </w:p>
        </w:tc>
        <w:tc>
          <w:tcPr>
            <w:tcW w:type="dxa" w:w="187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1</w:t>
            </w:r>
          </w:p>
        </w:tc>
      </w:tr>
      <w:tr>
        <w:tc>
          <w:tcPr>
            <w:tcW w:type="dxa" w:w="119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/25</w:t>
            </w:r>
          </w:p>
        </w:tc>
        <w:tc>
          <w:tcPr>
            <w:tcW w:type="dxa" w:w="2895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255.255.255.128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128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126</w:t>
            </w:r>
          </w:p>
        </w:tc>
        <w:tc>
          <w:tcPr>
            <w:tcW w:type="dxa" w:w="187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2</w:t>
            </w:r>
          </w:p>
        </w:tc>
      </w:tr>
      <w:tr>
        <w:tc>
          <w:tcPr>
            <w:tcW w:type="dxa" w:w="119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/26</w:t>
            </w:r>
          </w:p>
        </w:tc>
        <w:tc>
          <w:tcPr>
            <w:tcW w:type="dxa" w:w="2895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255.255.255.192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64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62</w:t>
            </w:r>
          </w:p>
        </w:tc>
        <w:tc>
          <w:tcPr>
            <w:tcW w:type="dxa" w:w="187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4</w:t>
            </w:r>
          </w:p>
        </w:tc>
      </w:tr>
      <w:tr>
        <w:tc>
          <w:tcPr>
            <w:tcW w:type="dxa" w:w="119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/27</w:t>
            </w:r>
          </w:p>
        </w:tc>
        <w:tc>
          <w:tcPr>
            <w:tcW w:type="dxa" w:w="2895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255.255.255.224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32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30</w:t>
            </w:r>
          </w:p>
        </w:tc>
        <w:tc>
          <w:tcPr>
            <w:tcW w:type="dxa" w:w="187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8</w:t>
            </w:r>
          </w:p>
        </w:tc>
      </w:tr>
      <w:tr>
        <w:tc>
          <w:tcPr>
            <w:tcW w:type="dxa" w:w="119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/28</w:t>
            </w:r>
          </w:p>
        </w:tc>
        <w:tc>
          <w:tcPr>
            <w:tcW w:type="dxa" w:w="2895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255.255.255.240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16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14</w:t>
            </w:r>
          </w:p>
        </w:tc>
        <w:tc>
          <w:tcPr>
            <w:tcW w:type="dxa" w:w="187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16</w:t>
            </w:r>
          </w:p>
        </w:tc>
      </w:tr>
      <w:tr>
        <w:tc>
          <w:tcPr>
            <w:tcW w:type="dxa" w:w="119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/29</w:t>
            </w:r>
          </w:p>
        </w:tc>
        <w:tc>
          <w:tcPr>
            <w:tcW w:type="dxa" w:w="2895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255.255.255.248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8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6</w:t>
            </w:r>
          </w:p>
        </w:tc>
        <w:tc>
          <w:tcPr>
            <w:tcW w:type="dxa" w:w="187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32</w:t>
            </w:r>
          </w:p>
        </w:tc>
      </w:tr>
      <w:tr>
        <w:tc>
          <w:tcPr>
            <w:tcW w:type="dxa" w:w="1192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/30</w:t>
            </w:r>
          </w:p>
        </w:tc>
        <w:tc>
          <w:tcPr>
            <w:tcW w:type="dxa" w:w="2895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255.255.255.252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4</w:t>
            </w:r>
          </w:p>
        </w:tc>
        <w:tc>
          <w:tcPr>
            <w:tcW w:type="dxa" w:w="153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2</w:t>
            </w:r>
          </w:p>
        </w:tc>
        <w:tc>
          <w:tcPr>
            <w:tcW w:type="dxa" w:w="187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64</w:t>
            </w:r>
          </w:p>
        </w:tc>
      </w:tr>
    </w:tbl>
    <w:p>
      <w:pPr>
        <w:spacing w:after="140"/>
      </w:pP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Diese Tabelle ist das wichtigste Hilfsmittel. Wer sie im Kopf hat oder als Spickzettel führt, löst die meisten Aufgaben in unter einer Minute.</w:t>
      </w:r>
    </w:p>
    <w:p>
      <w:pPr>
        <w:spacing w:after="80"/>
      </w:pPr>
    </w:p>
    <w:p>
      <w:pPr>
        <w:pStyle w:val="Heading1"/>
      </w:pPr>
      <w:r>
        <w:t xml:space="preserve">4  Beispiel: Netz, Broadcast und Hostbereich bestimmen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Gegeben: </w:t>
      </w:r>
      <w:r>
        <w:rPr>
          <w:rFonts w:ascii="Consolas" w:cs="Consolas" w:eastAsia="Consolas" w:hAnsi="Consolas"/>
          <w:b/>
          <w:bCs/>
          <w:color w:val="1C2833"/>
          <w:sz w:val="22"/>
          <w:szCs w:val="22"/>
        </w:rPr>
        <w:t xml:space="preserve">172.16.40.150/27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Gesucht sind Netzadresse, Broadcastadresse, Hostbereich und Maske.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1 – Maske und Blockgröße bestimmen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/27  →  255.255.255.224  →  Blockgröße 32</w:t>
            </w:r>
          </w:p>
          <w:p>
            <w:r>
              <w:rPr>
                <w:rFonts w:ascii="Calibri" w:cs="Calibri" w:eastAsia="Calibri" w:hAnsi="Calibri"/>
                <w:i/>
                <w:iCs/>
                <w:color w:val="4A5B6B"/>
                <w:sz w:val="18"/>
                <w:szCs w:val="18"/>
              </w:rPr>
              <w:t xml:space="preserve">256 − 224 = 32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2 – Vielfaches der Blockgröße unterhalb von 150 suchen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0 · 32 · 64 · 96 · 128 · 160  →  128</w:t>
            </w:r>
          </w:p>
          <w:p>
            <w:r>
              <w:rPr>
                <w:rFonts w:ascii="Calibri" w:cs="Calibri" w:eastAsia="Calibri" w:hAnsi="Calibri"/>
                <w:i/>
                <w:iCs/>
                <w:color w:val="4A5B6B"/>
                <w:sz w:val="18"/>
                <w:szCs w:val="18"/>
              </w:rPr>
              <w:t xml:space="preserve">150 liegt zwischen 128 und 160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3 – Netzadresse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172.16.40.128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4 – Broadcast = nächste Blockgrenze − 1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160 − 1  →  172.16.40.159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5 – Hostbereich dazwischen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172.16.40.129  –  172.16.40.158</w:t>
            </w:r>
          </w:p>
          <w:p>
            <w:r>
              <w:rPr>
                <w:rFonts w:ascii="Calibri" w:cs="Calibri" w:eastAsia="Calibri" w:hAnsi="Calibri"/>
                <w:i/>
                <w:iCs/>
                <w:color w:val="4A5B6B"/>
                <w:sz w:val="18"/>
                <w:szCs w:val="18"/>
              </w:rPr>
              <w:t xml:space="preserve">30 nutzbare Adressen (2⁵ − 2)</w:t>
            </w:r>
          </w:p>
        </w:tc>
      </w:tr>
    </w:tbl>
    <w:p>
      <w:pPr>
        <w:spacing w:after="140"/>
      </w:pPr>
    </w:p>
    <w:p>
      <w:pPr>
        <w:pBdr>
          <w:left w:val="single" w:color="0066AA" w:sz="18" w:space="10"/>
        </w:pBdr>
        <w:shd w:fill="D6E4F0" w:color="auto" w:val="clear"/>
        <w:spacing w:after="140" w:before="8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Kontrolle: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Netzadresse + Blockgröße = Netzadresse des nächsten Subnetzes. Hier 128 + 32 = 160 – und 159 ist folgerichtig der Broadcast. Diese Probe deckt fast jeden Rechenfehler auf.</w:t>
      </w:r>
    </w:p>
    <w:p>
      <w:pPr>
        <w:spacing w:after="80"/>
      </w:pPr>
    </w:p>
    <w:p>
      <w:pPr>
        <w:pStyle w:val="Heading1"/>
      </w:pPr>
      <w:r>
        <w:t xml:space="preserve">5  Ein Netz in mehrere Subnetze teilen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Abschnitt 4 ging rückwärts: Zu einer gegebenen Adresse waren die Eckdaten ihres Subnetzes gesucht. In der Praxis – und in Prüfungsaufgaben – steht meist die umgekehrte Frage: Ein Netz ist gegeben und soll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in mehrere Subnetze aufgeteilt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werden.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 Vorgabe kommt dabei in einer von zwei Formen: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Anzahl der Subnetze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„Das Netz soll in mindestens 6 Subnetze geteilt werden."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Hosts je Subnetz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„Jedes Subnetz muss mindestens 500 Geräte aufnehmen können."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Beide führen zur selben Frage: Wie viele Bit wandern vom Host- in den Netzanteil? Nur der Rechenweg dorthin unterscheidet sich.</w:t>
      </w:r>
    </w:p>
    <w:p>
      <w:pPr>
        <w:spacing w:after="60"/>
      </w:pP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Weg A – Vorgabe „Anzahl Subnetze"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Gesucht ist die Zahl der zusätzlichen Netzbits </w:t>
      </w:r>
      <w:r>
        <w:rPr>
          <w:rFonts w:ascii="Calibri" w:cs="Calibri" w:eastAsia="Calibri" w:hAnsi="Calibri"/>
          <w:i/>
          <w:iCs/>
          <w:color w:val="1C2833"/>
          <w:sz w:val="22"/>
          <w:szCs w:val="22"/>
        </w:rPr>
        <w:t xml:space="preserve">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mit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2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  <w:vertAlign w:val="superscript"/>
        </w:rPr>
        <w:t xml:space="preserve">n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 ≥ gewünschte Anzahl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Diese Bits werden an das Basispräfix angehängt.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Aufgabe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192.168.10.0/24  →  mindestens 6 Subnetze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1 – Netzbits bestimmen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2² = 4  zu wenig   ·   2³ = 8 ≥ 6   →   n = 3</w:t>
            </w:r>
          </w:p>
          <w:p>
            <w:r>
              <w:rPr>
                <w:rFonts w:ascii="Calibri" w:cs="Calibri" w:eastAsia="Calibri" w:hAnsi="Calibri"/>
                <w:i/>
                <w:iCs/>
                <w:color w:val="4A5B6B"/>
                <w:sz w:val="18"/>
                <w:szCs w:val="18"/>
              </w:rPr>
              <w:t xml:space="preserve">immer aufrunden: 8 Subnetze entstehen, 6 werden gebraucht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2 – neues Präfix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/24 + 3  =  /27   →   255.255.255.224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3 – Blockgröße und Hosts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Blockgröße 32   ·   2⁵ − 2 = 30 Hosts je Subnetz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4 – Netzadressen in Schritten der Blockgröße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.0  ·  .32  ·  .64  ·  .96  ·  .128  ·  .160  ·  .192  ·  .224</w:t>
            </w:r>
          </w:p>
          <w:p>
            <w:r>
              <w:rPr>
                <w:rFonts w:ascii="Calibri" w:cs="Calibri" w:eastAsia="Calibri" w:hAnsi="Calibri"/>
                <w:i/>
                <w:iCs/>
                <w:color w:val="4A5B6B"/>
                <w:sz w:val="18"/>
                <w:szCs w:val="18"/>
              </w:rPr>
              <w:t xml:space="preserve">letztes Subnetz 192.168.10.224/27, Broadcast 192.168.10.255</w:t>
            </w:r>
          </w:p>
        </w:tc>
      </w:tr>
    </w:tbl>
    <w:p>
      <w:pPr>
        <w:spacing w:after="140"/>
      </w:pP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Weg B – Vorgabe „Hosts je Subnetz"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Gesucht ist die Zahl der Hostbits </w:t>
      </w:r>
      <w:r>
        <w:rPr>
          <w:rFonts w:ascii="Calibri" w:cs="Calibri" w:eastAsia="Calibri" w:hAnsi="Calibri"/>
          <w:i/>
          <w:iCs/>
          <w:color w:val="1C2833"/>
          <w:sz w:val="22"/>
          <w:szCs w:val="22"/>
        </w:rPr>
        <w:t xml:space="preserve">h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mit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2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  <w:vertAlign w:val="superscript"/>
        </w:rPr>
        <w:t xml:space="preserve">h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 − 2 ≥ Bedarf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Daraus ergibt sich das Präfix als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32 − h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Aufgabe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10.40.0.0/16  →  mindestens 500 Hosts je Subnetz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1 – Hostbits bestimmen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2⁸ − 2 = 254  zu wenig   ·   2⁹ − 2 = 510 ≥ 500   →   h = 9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2 – neues Präfix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32 − 9  =  /23   →   255.255.254.0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3 – Anzahl Subnetze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23 − 16 = 7 Netzbits   →   2⁷ = 128 Subnetze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4 – Netzadressen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10.40.0.0  ·  10.40.2.0  ·  10.40.4.0  ·  10.40.6.0  …</w:t>
            </w:r>
          </w:p>
          <w:p>
            <w:r>
              <w:rPr>
                <w:rFonts w:ascii="Calibri" w:cs="Calibri" w:eastAsia="Calibri" w:hAnsi="Calibri"/>
                <w:i/>
                <w:iCs/>
                <w:color w:val="4A5B6B"/>
                <w:sz w:val="18"/>
                <w:szCs w:val="18"/>
              </w:rPr>
              <w:t xml:space="preserve">die Schrittweite liegt hier im 3. Oktett, nicht im 4.</w:t>
            </w:r>
          </w:p>
        </w:tc>
      </w:tr>
    </w:tbl>
    <w:p>
      <w:pPr>
        <w:spacing w:after="140"/>
      </w:pPr>
    </w:p>
    <w:p>
      <w:pPr>
        <w:pBdr>
          <w:left w:val="single" w:color="0066AA" w:sz="18" w:space="10"/>
        </w:pBdr>
        <w:shd w:fill="D6E4F0" w:color="auto" w:val="clear"/>
        <w:spacing w:after="140" w:before="8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Achtung bei kurzen Basispräfixen: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Ist das neue Präfix kürzer als /25, verschiebt sich die Schrittweite ins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3. Oktett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Ein /23 springt in Zweierschritten im dritten Oktett – nicht im vierten. Wer stur im letzten Oktett zählt, rechnet hier falsch.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Sind beide Vorgaben gleichzeitig genannt („6 Subnetze mit je mindestens 25 Hosts"), muss das Präfix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beide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Bedingungen erfüllen: Man rechnet beide Wege und nimmt das Ergebnis, das beiden genügt. Geht das nicht auf, ist das Basisnetz zu klein.</w:t>
      </w:r>
    </w:p>
    <w:p>
      <w:pPr>
        <w:spacing w:after="80"/>
      </w:pPr>
    </w:p>
    <w:p>
      <w:pPr>
        <w:pStyle w:val="Heading1"/>
      </w:pPr>
      <w:r>
        <w:t xml:space="preserve">6  VLSM – Subnetze unterschiedlicher Größe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Teilt man ein Netz in lauter gleich große Subnetze, richtet sich deren Größe nach dem größten Bedarf. Ein Punkt-zu-Punkt-Link mit zwei Adressen bekäme dann genauso viele Adressen wie eine Abteilung mit 100 Rechnern – der Rest verfällt.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VLSM (Variable Length Subnet Mask)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löst das: Jedes Subnetz erhält genau die Präfixlänge, die sein Bedarf erfordert. Damit passen deutlich mehr Netze in denselben Adressraum.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Das Verfahren in drei Regeln: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Bedarfe absteigend sortieren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das größte Netz zuerst vergeben.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Präfix je Bedarf bestimmen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die kleinste Größe wählen, die den Bedarf noch fasst (60 Hosts brauchen /26 mit 62, nicht /27 mit 30).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Lückenlos anschließen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das nächste Netz beginnt bei der Adresse direkt nach dem vorherigen Broadcast.</w:t>
      </w:r>
    </w:p>
    <w:p>
      <w:pPr>
        <w:pBdr>
          <w:left w:val="single" w:color="0066AA" w:sz="18" w:space="10"/>
        </w:pBdr>
        <w:shd w:fill="D6E4F0" w:color="auto" w:val="clear"/>
        <w:spacing w:after="140" w:before="8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Warum absteigend?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Jedes Subnetz muss auf einer Blockgrenze beginnen, die zu seiner Größe passt – ein /25 kann nur bei 0 oder 128 anfangen. Vergibt man erst die kleinen Netze, sind diese Grenzen belegt und die großen passen nicht mehr. Absteigend gehen die Grenzen immer auf.</w:t>
      </w:r>
    </w:p>
    <w:p>
      <w:pPr>
        <w:spacing w:after="80"/>
      </w:pPr>
    </w:p>
    <w:p>
      <w:pPr>
        <w:pStyle w:val="Heading1"/>
      </w:pPr>
      <w:r>
        <w:t xml:space="preserve">7  Durchgerechnetes VLSM-Beispiel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 Firma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KONTURA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besitzt das Netz </w:t>
      </w:r>
      <w:r>
        <w:rPr>
          <w:rFonts w:ascii="Consolas" w:cs="Consolas" w:eastAsia="Consolas" w:hAnsi="Consolas"/>
          <w:b/>
          <w:bCs/>
          <w:color w:val="1C2833"/>
          <w:sz w:val="22"/>
          <w:szCs w:val="22"/>
        </w:rPr>
        <w:t xml:space="preserve">10.20.30.0/24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benötigt fünf Subnetze mit unterschiedlichem Bedarf.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14"/>
        <w:gridCol w:w="914"/>
        <w:gridCol w:w="800"/>
        <w:gridCol w:w="1714"/>
        <w:gridCol w:w="1714"/>
        <w:gridCol w:w="2170"/>
      </w:tblGrid>
      <w:tr>
        <w:trPr>
          <w:tblHeader/>
        </w:trPr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Bereich</w:t>
            </w:r>
          </w:p>
        </w:tc>
        <w:tc>
          <w:tcPr>
            <w:tcW w:type="dxa" w:w="9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Bedarf</w:t>
            </w:r>
          </w:p>
        </w:tc>
        <w:tc>
          <w:tcPr>
            <w:tcW w:type="dxa" w:w="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Präfix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Netzadresse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Broadcast</w:t>
            </w:r>
          </w:p>
        </w:tc>
        <w:tc>
          <w:tcPr>
            <w:tcW w:type="dxa" w:w="217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Hostbereich</w:t>
            </w:r>
          </w:p>
        </w:tc>
      </w:tr>
      <w:tr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Marketing</w:t>
            </w:r>
          </w:p>
        </w:tc>
        <w:tc>
          <w:tcPr>
            <w:tcW w:type="dxa" w:w="9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100</w:t>
            </w:r>
          </w:p>
        </w:tc>
        <w:tc>
          <w:tcPr>
            <w:tcW w:type="dxa" w:w="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/25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10.20.30.0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10.20.30.127</w:t>
            </w:r>
          </w:p>
        </w:tc>
        <w:tc>
          <w:tcPr>
            <w:tcW w:type="dxa" w:w="217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.1 – .126</w:t>
            </w:r>
          </w:p>
        </w:tc>
      </w:tr>
      <w:tr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Support</w:t>
            </w:r>
          </w:p>
        </w:tc>
        <w:tc>
          <w:tcPr>
            <w:tcW w:type="dxa" w:w="9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50</w:t>
            </w:r>
          </w:p>
        </w:tc>
        <w:tc>
          <w:tcPr>
            <w:tcW w:type="dxa" w:w="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/26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10.20.30.128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10.20.30.191</w:t>
            </w:r>
          </w:p>
        </w:tc>
        <w:tc>
          <w:tcPr>
            <w:tcW w:type="dxa" w:w="217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.129 – .190</w:t>
            </w:r>
          </w:p>
        </w:tc>
      </w:tr>
      <w:tr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Lager</w:t>
            </w:r>
          </w:p>
        </w:tc>
        <w:tc>
          <w:tcPr>
            <w:tcW w:type="dxa" w:w="9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20</w:t>
            </w:r>
          </w:p>
        </w:tc>
        <w:tc>
          <w:tcPr>
            <w:tcW w:type="dxa" w:w="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/27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10.20.30.192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10.20.30.223</w:t>
            </w:r>
          </w:p>
        </w:tc>
        <w:tc>
          <w:tcPr>
            <w:tcW w:type="dxa" w:w="217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.193 – .222</w:t>
            </w:r>
          </w:p>
        </w:tc>
      </w:tr>
      <w:tr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Server</w:t>
            </w:r>
          </w:p>
        </w:tc>
        <w:tc>
          <w:tcPr>
            <w:tcW w:type="dxa" w:w="9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10</w:t>
            </w:r>
          </w:p>
        </w:tc>
        <w:tc>
          <w:tcPr>
            <w:tcW w:type="dxa" w:w="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/28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10.20.30.224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10.20.30.239</w:t>
            </w:r>
          </w:p>
        </w:tc>
        <w:tc>
          <w:tcPr>
            <w:tcW w:type="dxa" w:w="217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.225 – .238</w:t>
            </w:r>
          </w:p>
        </w:tc>
      </w:tr>
      <w:tr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WAN-Link</w:t>
            </w:r>
          </w:p>
        </w:tc>
        <w:tc>
          <w:tcPr>
            <w:tcW w:type="dxa" w:w="9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2</w:t>
            </w:r>
          </w:p>
        </w:tc>
        <w:tc>
          <w:tcPr>
            <w:tcW w:type="dxa" w:w="8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/30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10.20.30.240</w:t>
            </w:r>
          </w:p>
        </w:tc>
        <w:tc>
          <w:tcPr>
            <w:tcW w:type="dxa" w:w="1714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10.20.30.243</w:t>
            </w:r>
          </w:p>
        </w:tc>
        <w:tc>
          <w:tcPr>
            <w:tcW w:type="dxa" w:w="217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.241 – .242</w:t>
            </w:r>
          </w:p>
        </w:tc>
      </w:tr>
    </w:tbl>
    <w:p>
      <w:pPr>
        <w:spacing w:after="140"/>
      </w:pP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Verbraucht sind 244 der 256 Adressen; ab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10.20.30.244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bleibt Reserve. Ohne VLSM wäre die Aufgabe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nicht lösbar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Das größte Netz braucht ein /25, davon passen nur zwei in ein /24 – benötigt werden aber fünf Subnetze.</w:t>
      </w:r>
    </w:p>
    <w:p>
      <w:pPr>
        <w:spacing w:after="80"/>
      </w:pPr>
    </w:p>
    <w:p>
      <w:pPr>
        <w:pStyle w:val="Heading1"/>
      </w:pPr>
      <w:r>
        <w:t xml:space="preserve">8  Subnetting in IPv6 – der große Unterschied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In IPv6 entfällt das Rechnen mit Hostbits vollständig. Der Hostanteil bleibt grundsätzlich bei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/64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nicht aus Sparsamkeit, sondern weil die Autokonfiguration (SLAAC, EUI-64) eine 64 Bit lange Interface-ID voraussetzt. Verlängert wird nur der Netzanteil.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Vom Provider kommt typischerweise ein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/48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Zwischen Bit 49 und 64 liegen 16 freie Bit – das ist der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4. Block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der Adresse und zugleich die Subnetz-ID. Daraus ergeben sich 2</w:t>
      </w:r>
      <w:r>
        <w:rPr>
          <w:rFonts w:ascii="Calibri" w:cs="Calibri" w:eastAsia="Calibri" w:hAnsi="Calibri"/>
          <w:color w:val="1C2833"/>
          <w:sz w:val="22"/>
          <w:szCs w:val="22"/>
          <w:vertAlign w:val="superscript"/>
        </w:rPr>
        <w:t xml:space="preserve">16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= 65 536 Subnetze zu je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/64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Beispiel für das Präfix </w:t>
      </w:r>
      <w:r>
        <w:rPr>
          <w:rFonts w:ascii="Consolas" w:cs="Consolas" w:eastAsia="Consolas" w:hAnsi="Consolas"/>
          <w:b/>
          <w:bCs/>
          <w:color w:val="1C2833"/>
          <w:sz w:val="22"/>
          <w:szCs w:val="22"/>
        </w:rPr>
        <w:t xml:space="preserve">2001:db8:acad::/48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400"/>
        <w:gridCol w:w="3000"/>
        <w:gridCol w:w="3026"/>
      </w:tblGrid>
      <w:tr>
        <w:trPr>
          <w:tblHeader/>
        </w:trPr>
        <w:tc>
          <w:tcPr>
            <w:tcW w:type="dxa" w:w="1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Subnetz-Nr.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hexadezimal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/64-Präfix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Hinweis</w:t>
            </w:r>
          </w:p>
        </w:tc>
      </w:tr>
      <w:tr>
        <w:tc>
          <w:tcPr>
            <w:tcW w:type="dxa" w:w="1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0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0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2001:db8:acad::/64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erstes Subnetz</w:t>
            </w:r>
          </w:p>
        </w:tc>
      </w:tr>
      <w:tr>
        <w:tc>
          <w:tcPr>
            <w:tcW w:type="dxa" w:w="1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1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2001:db8:acad:1::/64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bis 9 identisch mit dezimal</w:t>
            </w:r>
          </w:p>
        </w:tc>
      </w:tr>
      <w:tr>
        <w:tc>
          <w:tcPr>
            <w:tcW w:type="dxa" w:w="1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10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a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2001:db8:acad:a::/64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ab 10 weichen die Zahlen ab</w:t>
            </w:r>
          </w:p>
        </w:tc>
      </w:tr>
      <w:tr>
        <w:tc>
          <w:tcPr>
            <w:tcW w:type="dxa" w:w="1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255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ff</w:t>
            </w:r>
          </w:p>
        </w:tc>
        <w:tc>
          <w:tcPr>
            <w:tcW w:type="dxa" w:w="3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19"/>
                <w:szCs w:val="19"/>
              </w:rPr>
              <w:t xml:space="preserve">2001:db8:acad:ff::/64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ff = 255 dezimal</w:t>
            </w:r>
          </w:p>
        </w:tc>
      </w:tr>
    </w:tbl>
    <w:p>
      <w:pPr>
        <w:spacing w:after="140"/>
      </w:pPr>
    </w:p>
    <w:p>
      <w:pPr>
        <w:pBdr>
          <w:left w:val="single" w:color="0066AA" w:sz="18" w:space="10"/>
        </w:pBdr>
        <w:shd w:fill="D6E4F0" w:color="auto" w:val="clear"/>
        <w:spacing w:after="140" w:before="8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Häufigste Falle: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Der 4. Block wird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hexadezimal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geschrieben. VLAN 20 landet nicht in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:20: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sondern in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:14: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Nur bei Werten bis 9 stimmen dezimale und hexadezimale Schreibweise überein.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Geplant wird in IPv6 also nur noch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Anzahl der Netze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nicht deren Größe. Ein /64 mit 20 Geräten ist völlig normal – der Verschnitt spielt bei 2</w:t>
      </w:r>
      <w:r>
        <w:rPr>
          <w:rFonts w:ascii="Calibri" w:cs="Calibri" w:eastAsia="Calibri" w:hAnsi="Calibri"/>
          <w:color w:val="1C2833"/>
          <w:sz w:val="22"/>
          <w:szCs w:val="22"/>
          <w:vertAlign w:val="superscript"/>
        </w:rPr>
        <w:t xml:space="preserve">64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Adressen je Subnetz keine Rolle.</w:t>
      </w:r>
    </w:p>
    <w:p>
      <w:pPr>
        <w:spacing w:after="80"/>
      </w:pPr>
    </w:p>
    <w:p>
      <w:pPr>
        <w:pStyle w:val="Heading1"/>
      </w:pPr>
      <w:r>
        <w:t xml:space="preserve">9  Häufige Fehler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Die zwei reservierten Adressen vergessen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ein /28 hat 16 Adressen, aber nur 14 nutzbare.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Präfix ohne Reserve wählen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ein /27 fasst genau 30 Hosts. Bei 30 Geräten ist es damit randvoll: kein Drucker und kein Access Point passt mehr hinein. Bei knappem Verhältnis eine Stufe größer wählen.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Bei VLSM aufsteigend vergeben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dann liegen die Blockgrenzen für die großen Netze nicht mehr frei.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Broadcast falsch berechnet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der Broadcast ist die Adresse </w:t>
      </w:r>
      <w:r>
        <w:rPr>
          <w:rFonts w:ascii="Calibri" w:cs="Calibri" w:eastAsia="Calibri" w:hAnsi="Calibri"/>
          <w:i/>
          <w:iCs/>
          <w:color w:val="1C2833"/>
          <w:sz w:val="22"/>
          <w:szCs w:val="22"/>
        </w:rPr>
        <w:t xml:space="preserve">vor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der nächsten Netzadresse, nicht die nächste Blockgrenze selbst.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IPv6-Subnetz-ID dezimal eingetragen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der 4. Block ist hexadezimal.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In IPv6 kleiner als /64 subnetten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bricht SLAAC und bringt keinerlei Vorteil.</w:t>
      </w:r>
    </w:p>
    <w:p>
      <w:pPr>
        <w:spacing w:after="80"/>
      </w:pPr>
    </w:p>
    <w:p>
      <w:pPr>
        <w:pStyle w:val="Heading1"/>
      </w:pPr>
      <w:r>
        <w:t xml:space="preserve">10  Abkürzungen und Fachbegriffe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6926"/>
      </w:tblGrid>
      <w:tr>
        <w:trPr>
          <w:tblHeader/>
        </w:trP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Begriff</w:t>
            </w:r>
          </w:p>
        </w:tc>
        <w:tc>
          <w:tcPr>
            <w:tcW w:type="dxa" w:w="6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Bedeutung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Blockgröße</w:t>
            </w:r>
          </w:p>
        </w:tc>
        <w:tc>
          <w:tcPr>
            <w:tcW w:type="dxa" w:w="6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Abstand zwischen zwei aufeinanderfolgenden Netzadressen im letzten veränderlichen Oktett; 256 minus letzter Maskenwert.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Broadcast-Domäne</w:t>
            </w:r>
          </w:p>
        </w:tc>
        <w:tc>
          <w:tcPr>
            <w:tcW w:type="dxa" w:w="6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Bereich, in dem ein Broadcast alle Geräte erreicht; endet am Router.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CIDR</w:t>
            </w:r>
          </w:p>
        </w:tc>
        <w:tc>
          <w:tcPr>
            <w:tcW w:type="dxa" w:w="6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Classless Inter-Domain Routing – Schreibweise mit Präfixlänge, z. B. /26.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Hostanteil</w:t>
            </w:r>
          </w:p>
        </w:tc>
        <w:tc>
          <w:tcPr>
            <w:tcW w:type="dxa" w:w="6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Rechter Teil der Adresse; bezeichnet das einzelne Gerät im Netz.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Netzanteil</w:t>
            </w:r>
          </w:p>
        </w:tc>
        <w:tc>
          <w:tcPr>
            <w:tcW w:type="dxa" w:w="6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Linker Teil der Adresse; bezeichnet das Netz.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Präfixlänge</w:t>
            </w:r>
          </w:p>
        </w:tc>
        <w:tc>
          <w:tcPr>
            <w:tcW w:type="dxa" w:w="6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Anzahl der Bit, die zum Netzanteil gehören (die Zahl hinter dem /).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SLAAC</w:t>
            </w:r>
          </w:p>
        </w:tc>
        <w:tc>
          <w:tcPr>
            <w:tcW w:type="dxa" w:w="6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Stateless Address Autoconfiguration – IPv6-Autokonfiguration; setzt ein /64 voraus.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Subnetzmaske</w:t>
            </w:r>
          </w:p>
        </w:tc>
        <w:tc>
          <w:tcPr>
            <w:tcW w:type="dxa" w:w="6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Punktnotierte Darstellung der Präfixlänge, z. B. 255.255.255.192.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VLSM</w:t>
            </w:r>
          </w:p>
        </w:tc>
        <w:tc>
          <w:tcPr>
            <w:tcW w:type="dxa" w:w="6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5"/>
              <w:bottom w:type="dxa" w:w="55"/>
              <w:right w:type="dxa" w:w="95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Variable Length Subnet Mask – Subnetze unterschiedlicher Größe innerhalb eines Netzes.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11  Kontrollfragen</w:t>
      </w:r>
    </w:p>
    <w:p>
      <w:pPr>
        <w:spacing w:after="70" w:line="262"/>
        <w:ind w:left="340" w:hanging="3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verringert Subnetting die Broadcast-Last?</w:t>
      </w:r>
    </w:p>
    <w:p>
      <w:pPr>
        <w:spacing w:after="70" w:line="262"/>
        <w:ind w:left="340" w:hanging="3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Wie berechnet man die Blockgröße aus der Subnetzmaske?</w:t>
      </w:r>
    </w:p>
    <w:p>
      <w:pPr>
        <w:spacing w:after="70" w:line="262"/>
        <w:ind w:left="340" w:hanging="3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Welche zwei Adressen jedes Subnetzes lassen sich nicht an Geräte vergeben, und warum?</w:t>
      </w:r>
    </w:p>
    <w:p>
      <w:pPr>
        <w:spacing w:after="70" w:line="262"/>
        <w:ind w:left="340" w:hanging="3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 Netz hat die Maske 255.255.255.240. Wie lauten Präfixlänge, Blockgröße und Zahl nutzbarer Hosts?</w:t>
      </w:r>
    </w:p>
    <w:p>
      <w:pPr>
        <w:spacing w:after="70" w:line="262"/>
        <w:ind w:left="340" w:hanging="3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werden die Bedarfe bei VLSM absteigend vergeben?</w:t>
      </w:r>
    </w:p>
    <w:p>
      <w:pPr>
        <w:spacing w:after="70" w:line="262"/>
        <w:ind w:left="340" w:hanging="3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bleibt der Hostanteil in IPv6 bei /64, obwohl das enorm viele Adressen verschwendet?</w:t>
      </w:r>
    </w:p>
    <w:p>
      <w:pPr>
        <w:spacing w:after="70" w:line="262"/>
        <w:ind w:left="340" w:hanging="3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7)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Welches /64-Präfix erhält VLAN 30 aus dem Präfix 2001:db8:1::/48, wenn die VLAN-ID als Subnetz-ID dient?</w:t>
      </w:r>
    </w:p>
    <w:p>
      <w:pPr>
        <w:spacing w:after="120"/>
      </w:pP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Zum Üben: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Der Subnetting-Trainer übt das Berechnen von Netz, Broadcast und Hostbereich, der IPv6-Trainer im Modus „Subnetz bilden" die Zerlegung von Präfixen. Das Aufgabenblatt „Subnetting &amp; VLSM" enthält die schriftlichen Übungen.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Subnetting &amp; VLSM · Modul J / LF9 · Handout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  <w:rPr>
        <w:color w:val="0066AA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2026-06-17T05:18:29.982Z</dcterms:created>
  <dcterms:modified xsi:type="dcterms:W3CDTF">2026-06-17T05:18:29.982Z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