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Lernzettel: Netzwerke und Dienste (LF9)</w:t>
      </w:r>
    </w:p>
    <w:p>
      <w:pPr>
        <w:pBdr>
          <w:bottom w:val="single" w:color="0066AA" w:sz="6" w:space="6"/>
        </w:pBdr>
        <w:spacing w:after="140"/>
      </w:pPr>
      <w:r>
        <w:rPr>
          <w:rFonts w:ascii="Calibri" w:cs="Calibri" w:eastAsia="Calibri" w:hAnsi="Calibri"/>
          <w:color w:val="6E7B89"/>
          <w:sz w:val="19"/>
          <w:szCs w:val="19"/>
        </w:rPr>
        <w:t xml:space="preserve">Klausurvorbereitung · Modul J · bfw Lübeck · FIAE / FISI · die 6 Klausurblöcke kompakt</w:t>
      </w:r>
    </w:p>
    <w:p>
      <w:pPr>
        <w:pBdr>
          <w:bottom w:val="single" w:color="F0A500" w:sz="10" w:space="3"/>
        </w:pBdr>
        <w:spacing w:after="70"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1 · IPv6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Kürzen: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führende Nullen je Block weg;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längste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Nullgruppe →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::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(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nur einmal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erlaubt).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Expandieren: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::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auf 8 Blöcke à 4 Stellen auffüllen, fehlende Nullen ergänzen.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Standard-Subnetz: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/64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; Adresse = Präfix (Netz) + Interface-ID (Host); 128 Bit, 8×16.</w:t>
      </w:r>
    </w:p>
    <w:p>
      <w:pPr>
        <w:spacing w:after="60" w:line="250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Adressarten:</w:t>
      </w:r>
    </w:p>
    <w:tbl>
      <w:tblPr>
        <w:tblW w:type="dxa" w:w="10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200"/>
        <w:gridCol w:w="4426"/>
      </w:tblGrid>
      <w:tr>
        <w:trPr>
          <w:tblHeader/>
        </w:trPr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Art</w:t>
            </w:r>
          </w:p>
        </w:tc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Präfix</w:t>
            </w:r>
          </w:p>
        </w:tc>
        <w:tc>
          <w:tcPr>
            <w:tcW w:type="dxa" w:w="4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Bedeutung</w:t>
            </w:r>
          </w:p>
        </w:tc>
      </w:tr>
      <w:tr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Global Unicast (GUA)</w:t>
            </w:r>
          </w:p>
        </w:tc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2000::/3</w:t>
            </w:r>
          </w:p>
        </w:tc>
        <w:tc>
          <w:tcPr>
            <w:tcW w:type="dxa" w:w="4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öffentlich routbar</w:t>
            </w:r>
          </w:p>
        </w:tc>
      </w:tr>
      <w:tr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Link-Local (LLA)</w:t>
            </w:r>
          </w:p>
        </w:tc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fe80::/10</w:t>
            </w:r>
          </w:p>
        </w:tc>
        <w:tc>
          <w:tcPr>
            <w:tcW w:type="dxa" w:w="4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nur im Segment</w:t>
            </w:r>
          </w:p>
        </w:tc>
      </w:tr>
      <w:tr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Unique Local (ULA)</w:t>
            </w:r>
          </w:p>
        </w:tc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fc00::/7</w:t>
            </w:r>
          </w:p>
        </w:tc>
        <w:tc>
          <w:tcPr>
            <w:tcW w:type="dxa" w:w="4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privat, intern</w:t>
            </w:r>
          </w:p>
        </w:tc>
      </w:tr>
      <w:tr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Multicast</w:t>
            </w:r>
          </w:p>
        </w:tc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ff00::/8</w:t>
            </w:r>
          </w:p>
        </w:tc>
        <w:tc>
          <w:tcPr>
            <w:tcW w:type="dxa" w:w="4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an eine Gruppe</w:t>
            </w:r>
          </w:p>
        </w:tc>
      </w:tr>
      <w:tr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Loopback</w:t>
            </w:r>
          </w:p>
        </w:tc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::1</w:t>
            </w:r>
          </w:p>
        </w:tc>
        <w:tc>
          <w:tcPr>
            <w:tcW w:type="dxa" w:w="4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eigener Host</w:t>
            </w:r>
          </w:p>
        </w:tc>
      </w:tr>
      <w:tr>
        <w:tc>
          <w:tcPr>
            <w:tcW w:type="dxa" w:w="3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Unspezifiziert</w:t>
            </w:r>
          </w:p>
        </w:tc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::</w:t>
            </w:r>
          </w:p>
        </w:tc>
        <w:tc>
          <w:tcPr>
            <w:tcW w:type="dxa" w:w="4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keine Adresse</w:t>
            </w:r>
          </w:p>
        </w:tc>
      </w:tr>
    </w:tbl>
    <w:p>
      <w:pPr>
        <w:pBdr>
          <w:bottom w:val="single" w:color="F0A500" w:sz="10" w:space="3"/>
        </w:pBdr>
        <w:spacing w:after="70"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2 · Subnetting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Adressen gesamt =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2^(32−Präfix)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 ·  nutzbare Hosts =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2^(32−Präfix) − 2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Netzadresse =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IP AND Maske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 ·  Broadcast =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Netz OR (NOT Maske)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Erste Host =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Netz + 1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 ·  letzte Host =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Broadcast − 1</w:t>
      </w:r>
    </w:p>
    <w:p>
      <w:pPr>
        <w:spacing w:after="60" w:line="250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CIDR-Tabelle:</w:t>
      </w:r>
    </w:p>
    <w:tbl>
      <w:tblPr>
        <w:tblW w:type="dxa" w:w="10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200"/>
        <w:gridCol w:w="2400"/>
        <w:gridCol w:w="2726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CIDR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Maske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Blockgröße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nutzbare Hosts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8"/>
                <w:szCs w:val="18"/>
              </w:rPr>
              <w:t xml:space="preserve">/22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255.255.252.0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1024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1022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8"/>
                <w:szCs w:val="18"/>
              </w:rPr>
              <w:t xml:space="preserve">/23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255.255.254.0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512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510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8"/>
                <w:szCs w:val="18"/>
              </w:rPr>
              <w:t xml:space="preserve">/24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256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254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8"/>
                <w:szCs w:val="18"/>
              </w:rPr>
              <w:t xml:space="preserve">/25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255.255.255.128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128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126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8"/>
                <w:szCs w:val="18"/>
              </w:rPr>
              <w:t xml:space="preserve">/26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255.255.255.192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64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62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8"/>
                <w:szCs w:val="18"/>
              </w:rPr>
              <w:t xml:space="preserve">/27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255.255.255.224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32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30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8"/>
                <w:szCs w:val="18"/>
              </w:rPr>
              <w:t xml:space="preserve">/28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255.255.255.240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16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14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8"/>
                <w:szCs w:val="18"/>
              </w:rPr>
              <w:t xml:space="preserve">/29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255.255.255.248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8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8"/>
                <w:szCs w:val="18"/>
              </w:rPr>
              <w:t xml:space="preserve">/30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255.255.255.252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4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</w:t>
            </w:r>
          </w:p>
        </w:tc>
      </w:tr>
    </w:tbl>
    <w:p>
      <w:pPr>
        <w:pBdr>
          <w:bottom w:val="single" w:color="F0A500" w:sz="10" w:space="3"/>
        </w:pBdr>
        <w:spacing w:after="70"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3 · VLSM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Bedarfe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absteigend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sortieren (größtes zuerst).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color w:val="1C2833"/>
          <w:sz w:val="20"/>
          <w:szCs w:val="20"/>
        </w:rPr>
        <w:t xml:space="preserve">Pro Subnetz: kleinste Blockgröße mit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2^k − 2 ≥ Bedarf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 → Präfix =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32 − k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color w:val="1C2833"/>
          <w:sz w:val="20"/>
          <w:szCs w:val="20"/>
        </w:rPr>
        <w:t xml:space="preserve">An der Blockgrenze platzieren, lückenlos weiterzählen (Netz + Blockgröße).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Warum absteigend?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damit jedes Subnetz an seiner Blockgrenze liegt – keine Lücken/Überlappungen.</w:t>
      </w:r>
    </w:p>
    <w:p>
      <w:pPr>
        <w:pBdr>
          <w:bottom w:val="single" w:color="F0A500" w:sz="10" w:space="3"/>
        </w:pBdr>
        <w:spacing w:after="70"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4 · Switching &amp; VLANs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Switch =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Layer 2, MAC-Adressen. Lernt Quell-MAC + Eingangsport; unbekannte Ziel-MAC oder Broadcast →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Flooding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(alle Ports außer Eingang).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Merksatz: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Switch trennt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Kollisionsdomänen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, aber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nicht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Broadcast-Domänen.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Access-Port =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1 VLAN, untagged, Endgerät.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Trunk-Port =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mehrere VLANs,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802.1Q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-getaggt; Native VLAN bleibt ungetaggt.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VLAN =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eigene Broadcast-Domäne/Subnetz; ID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1–4094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. VLAN-übergreifend → Router (Layer 3).</w:t>
      </w:r>
    </w:p>
    <w:p>
      <w:pPr>
        <w:pBdr>
          <w:bottom w:val="single" w:color="F0A500" w:sz="10" w:space="3"/>
        </w:pBdr>
        <w:spacing w:after="70"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5 · Routing, DHCP &amp; DNS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Router =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Layer 3, Ziel-IP, verbindet Netze. Auswahl per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längstem Treffer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(longest prefix match).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Statisch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(manuell, Kontrolle, pflegeintensiv) vs.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dynamisch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(RIP/OSPF, automatisch, skaliert).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Router-on-a-Stick: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1 Trunk, pro VLAN ein Subinterface (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encapsulation dot1Q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) mit IP = Gateway.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DHCP-Ablauf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DORA: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Discover → Offer → Request → Acknowledge. Liefert IP, Maske, Gateway, DNS.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DHCP-Begriffe: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Scope (Adressbereich), Lease (befristet), Reservierung (feste IP per MAC).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DNS: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Client → Resolver → Root → TLD → autoritativ; Caching. </w:t>
      </w:r>
    </w:p>
    <w:p>
      <w:pPr>
        <w:spacing w:after="60" w:line="250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DNS-Records:</w:t>
      </w:r>
    </w:p>
    <w:tbl>
      <w:tblPr>
        <w:tblW w:type="dxa" w:w="10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300"/>
        <w:gridCol w:w="1700"/>
        <w:gridCol w:w="3326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Record</w:t>
            </w:r>
          </w:p>
        </w:tc>
        <w:tc>
          <w:tcPr>
            <w:tcW w:type="dxa" w:w="3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Bedeutung</w:t>
            </w:r>
          </w:p>
        </w:tc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Record</w:t>
            </w:r>
          </w:p>
        </w:tc>
        <w:tc>
          <w:tcPr>
            <w:tcW w:type="dxa" w:w="3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Bedeutung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</w:t>
            </w:r>
          </w:p>
        </w:tc>
        <w:tc>
          <w:tcPr>
            <w:tcW w:type="dxa" w:w="3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Name → IPv4</w:t>
            </w:r>
          </w:p>
        </w:tc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MX</w:t>
            </w:r>
          </w:p>
        </w:tc>
        <w:tc>
          <w:tcPr>
            <w:tcW w:type="dxa" w:w="3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Mailserver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AAAA</w:t>
            </w:r>
          </w:p>
        </w:tc>
        <w:tc>
          <w:tcPr>
            <w:tcW w:type="dxa" w:w="3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Name → IPv6</w:t>
            </w:r>
          </w:p>
        </w:tc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PTR</w:t>
            </w:r>
          </w:p>
        </w:tc>
        <w:tc>
          <w:tcPr>
            <w:tcW w:type="dxa" w:w="3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IP → Name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CNAME</w:t>
            </w:r>
          </w:p>
        </w:tc>
        <w:tc>
          <w:tcPr>
            <w:tcW w:type="dxa" w:w="3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Alias</w:t>
            </w:r>
          </w:p>
        </w:tc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  <w:tc>
          <w:tcPr>
            <w:tcW w:type="dxa" w:w="33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36"/>
              <w:left w:type="dxa" w:w="80"/>
              <w:bottom w:type="dxa" w:w="36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F0A500" w:sz="10" w:space="3"/>
        </w:pBdr>
        <w:spacing w:after="70" w:before="20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6 · Cloud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Servicemodelle: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IaaS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(Server/Speicher/Netz) ·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PaaS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(Entwicklungsumgebung) ·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SaaS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(fertige Anwendung). Je höher, desto weniger Eigenpflege.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Bereitstellung: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Private · Public · Hybrid · Community.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Merkmale: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On-Demand, Ressourcen-Pooling, Elastizität, Pay-per-Use.</w:t>
      </w:r>
    </w:p>
    <w:p>
      <w:pPr>
        <w:pStyle w:val="ListParagraph"/>
        <w:numPr>
          <w:ilvl w:val="0"/>
          <w:numId w:val="2"/>
        </w:numPr>
        <w:spacing w:after="36" w:line="248"/>
      </w:pP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Vorteile 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(Skalierbarkeit, keine eigene HW, Pay-per-Use) vs. </w:t>
      </w:r>
      <w:r>
        <w:rPr>
          <w:rFonts w:ascii="Calibri" w:cs="Calibri" w:eastAsia="Calibri" w:hAnsi="Calibri"/>
          <w:b/>
          <w:bCs/>
          <w:color w:val="1C2833"/>
          <w:sz w:val="20"/>
          <w:szCs w:val="20"/>
        </w:rPr>
        <w:t xml:space="preserve">Risiken</w:t>
      </w:r>
      <w:r>
        <w:rPr>
          <w:rFonts w:ascii="Calibri" w:cs="Calibri" w:eastAsia="Calibri" w:hAnsi="Calibri"/>
          <w:color w:val="1C2833"/>
          <w:sz w:val="20"/>
          <w:szCs w:val="20"/>
        </w:rPr>
        <w:t xml:space="preserve"> (Vendor-Lock-in, Datenschutz/DSGVO, Internetabhängigkeit).</w:t>
      </w:r>
    </w:p>
    <w:sectPr>
      <w:footerReference w:type="default" r:id="rId7"/>
      <w:pgSz w:w="11906" w:h="16838" w:orient="portrait"/>
      <w:pgMar w:top="1080" w:right="940" w:bottom="1080" w:left="9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5013"/>
        <w:tab w:val="right" w:pos="10026"/>
      </w:tabs>
    </w:pPr>
    <w:r>
      <w:rPr>
        <w:rFonts w:ascii="Calibri" w:cs="Calibri" w:eastAsia="Calibri" w:hAnsi="Calibri"/>
        <w:color w:val="6E7B89"/>
        <w:sz w:val="15"/>
        <w:szCs w:val="15"/>
      </w:rPr>
      <w:t xml:space="preserve">[Vor- und Nachname] · [Datum]</w:t>
    </w:r>
    <w:r>
      <w:rPr>
        <w:rFonts w:ascii="Calibri" w:cs="Calibri" w:eastAsia="Calibri" w:hAnsi="Calibri"/>
        <w:color w:val="6E7B89"/>
        <w:sz w:val="15"/>
        <w:szCs w:val="15"/>
      </w:rPr>
      <w:t xml:space="preserve">	Lernzettel LF9 · Klausurvorbereitung	</w:t>
    </w:r>
    <w:r>
      <w:rPr>
        <w:rFonts w:ascii="Calibri" w:cs="Calibri" w:eastAsia="Calibri" w:hAnsi="Calibri"/>
        <w:color w:val="6E7B89"/>
        <w:sz w:val="15"/>
        <w:szCs w:val="15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300" w:hanging="22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2026-06-23T05:33:18.985Z</dcterms:created>
  <dcterms:modified xsi:type="dcterms:W3CDTF">2026-06-23T05:33:18.986Z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