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IPv6 – Adressierung verstehen</w:t>
      </w:r>
    </w:p>
    <w:p>
      <w:pPr>
        <w:spacing w:after="4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Handout zur Präsentation · Adressaufbau · Kürzung · Adressarten · Zuweisung</w:t>
      </w:r>
    </w:p>
    <w:p>
      <w:pPr>
        <w:pBdr>
          <w:bottom w:val="single" w:color="0066AA" w:sz="6" w:space="6"/>
        </w:pBdr>
        <w:spacing w:after="20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pStyle w:val="Heading1"/>
      </w:pPr>
      <w:r>
        <w:t xml:space="preserve">1  Warum IPv6?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IPv4 verwendet 32-Bit-Adressen, woraus sich rund 4,3 Milliarden mögliche Adressen ergeben. Durch das Wachstum des Internets, mobile Endgeräte, Cloud-Dienste und das Internet der Dinge ist dieser Vorrat erschöpft. 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NAT (Network Address Translation) hat den Mangel abgefedert, indem viele Geräte hinter einer öffentlichen Adresse zusammengefasst werden. Das bricht jedoch das Ende-zu-Ende-Prinzip und erschwert eingehende Verbindungen. IPv6 löst das Problem grundlegend mit 128-Bit-Adressen und einem praktisch unbegrenzten Adressraum (rund 3,4 × 10³⁸ Adressen).</w:t>
      </w:r>
    </w:p>
    <w:p>
      <w:pPr>
        <w:pStyle w:val="Heading1"/>
      </w:pPr>
      <w:r>
        <w:t xml:space="preserve">2  Aufbau einer IPv6-Adresse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Eine IPv6-Adresse ist 128 Bit lang und wird in acht Blöcken zu je 16 Bit geschrieben. Jeder Block wird hexadezimal dargestellt (vier Hex-Ziffern) und durch Doppelpunkte getrennt. Die linke Hälfte bildet das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Präfix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(Netzanteil), die rechte Hälfte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Interface-ID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(Hostanteil). Die übliche Präfixlänge für ein Subnetz ist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/64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die ersten 64 Bit bezeichnen das Netz, die letzten 64 Bit das Interface.</w:t>
      </w:r>
    </w:p>
    <w:p>
      <w:pPr>
        <w:spacing w:after="160" w:before="4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Beispiel: 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2001:0db8:85a3:0000:0000:8a2e:0370:7334</w:t>
      </w:r>
    </w:p>
    <w:p>
      <w:pPr>
        <w:pStyle w:val="Heading1"/>
      </w:pPr>
      <w:r>
        <w:t xml:space="preserve">3  Kürzungsregeln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Vollständige IPv6-Adressen sind lang. Zwei Regeln verkürzen sie: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Regel 1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Führende Nullen innerhalb eines Blocks werden weggelassen (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0db8 → db8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0000 → 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).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Regel 2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Eine zusammenhängende Folge von Null-Blöcken wird durch zwei Doppelpunkte (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) ersetzt.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Wichtig: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Das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darf in einer Adresse nur ein einziges Mal stehen – sonst wäre nicht mehr eindeutig, wie viele Null-Blöcke gemeint sind. Gibt es mehrere Null-Folgen, wird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längste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gekürzt. Ein einzelner Null-Block wird nur zu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reduziert, nicht zu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i/>
          <w:iCs/>
          <w:color w:val="1C2833"/>
          <w:sz w:val="22"/>
          <w:szCs w:val="22"/>
        </w:rPr>
        <w:t xml:space="preserve">Häufige Fehler: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zweimal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in einer Adresse; das Kürzen einer kürzeren statt der längsten Null-Folge; das Verwechseln weggelassener führender Nullen mit ganzen Null-Blöcken.</w:t>
      </w:r>
    </w:p>
    <w:p>
      <w:pPr>
        <w:pStyle w:val="Heading1"/>
      </w:pPr>
      <w:r>
        <w:t xml:space="preserve">4  Beispiel: Schritt für Schritt kürzen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Ausgangsadresse (voll)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2001:0db8:0000:0000:0000:ff00:0042:8329</w:t>
            </w:r>
          </w:p>
        </w:tc>
      </w:tr>
    </w:tbl>
    <w:p>
      <w:pPr>
        <w:spacing w:after="36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1 – führende Nullen weglassen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2001:db8:0:0:0:ff00:42:8329</w:t>
            </w:r>
          </w:p>
        </w:tc>
      </w:tr>
    </w:tbl>
    <w:p>
      <w:pPr>
        <w:spacing w:after="36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2 – längste Null-Folge durch :: ersetzen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24"/>
                <w:szCs w:val="24"/>
              </w:rPr>
              <w:t xml:space="preserve">2001:db8::ff00:42:8329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5  Adressarten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IPv6 unterscheidet Adressen anhand ihres Präfixes. Die wichtigsten Arten: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2400"/>
        <w:gridCol w:w="4926"/>
      </w:tblGrid>
      <w:tr>
        <w:trPr>
          <w:tblHeader/>
        </w:trPr>
        <w:tc>
          <w:tcPr>
            <w:tcW w:type="dxa" w:w="1700"/>
            <w:tcBorders>
              <w:top w:val="single" w:color="003366" w:sz="1"/>
              <w:left w:val="single" w:color="003366" w:sz="1"/>
              <w:bottom w:val="single" w:color="003366" w:sz="1"/>
              <w:right w:val="single" w:color="003366" w:sz="1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Präfix</w:t>
            </w:r>
          </w:p>
        </w:tc>
        <w:tc>
          <w:tcPr>
            <w:tcW w:type="dxa" w:w="2400"/>
            <w:tcBorders>
              <w:top w:val="single" w:color="003366" w:sz="1"/>
              <w:left w:val="single" w:color="003366" w:sz="1"/>
              <w:bottom w:val="single" w:color="003366" w:sz="1"/>
              <w:right w:val="single" w:color="003366" w:sz="1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Adressart</w:t>
            </w:r>
          </w:p>
        </w:tc>
        <w:tc>
          <w:tcPr>
            <w:tcW w:type="dxa" w:w="4926"/>
            <w:tcBorders>
              <w:top w:val="single" w:color="003366" w:sz="1"/>
              <w:left w:val="single" w:color="003366" w:sz="1"/>
              <w:bottom w:val="single" w:color="003366" w:sz="1"/>
              <w:right w:val="single" w:color="003366" w:sz="1"/>
            </w:tcBorders>
            <w:shd w:fill="003366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2"/>
                <w:szCs w:val="22"/>
              </w:rPr>
              <w:t xml:space="preserve">Bedeutung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color w:val="003366"/>
                <w:sz w:val="21"/>
                <w:szCs w:val="21"/>
              </w:rPr>
              <w:t xml:space="preserve">2000::/3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2"/>
                <w:szCs w:val="22"/>
              </w:rPr>
              <w:t xml:space="preserve">Global Unicast (GUA)</w:t>
            </w:r>
          </w:p>
        </w:tc>
        <w:tc>
          <w:tcPr>
            <w:tcW w:type="dxa" w:w="4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weltweit routbar, öffentlich – Gegenstück zur öffentlichen IPv4-Adresse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color w:val="003366"/>
                <w:sz w:val="21"/>
                <w:szCs w:val="21"/>
              </w:rPr>
              <w:t xml:space="preserve">fe80::/10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2"/>
                <w:szCs w:val="22"/>
              </w:rPr>
              <w:t xml:space="preserve">Link-Local (LLA)</w:t>
            </w:r>
          </w:p>
        </w:tc>
        <w:tc>
          <w:tcPr>
            <w:tcW w:type="dxa" w:w="4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nur im eigenen Segment gültig, automatisch auf jedem Interface, wird nicht geroutet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color w:val="003366"/>
                <w:sz w:val="21"/>
                <w:szCs w:val="21"/>
              </w:rPr>
              <w:t xml:space="preserve">ff00::/8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2"/>
                <w:szCs w:val="22"/>
              </w:rPr>
              <w:t xml:space="preserve">Multicast</w:t>
            </w:r>
          </w:p>
        </w:tc>
        <w:tc>
          <w:tcPr>
            <w:tcW w:type="dxa" w:w="4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einer an viele; z. B. ff02::1 (alle Knoten), ff02::2 (alle Router). IPv6 hat keinen Broadcast.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color w:val="003366"/>
                <w:sz w:val="21"/>
                <w:szCs w:val="21"/>
              </w:rPr>
              <w:t xml:space="preserve">fc00::/7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2"/>
                <w:szCs w:val="22"/>
              </w:rPr>
              <w:t xml:space="preserve">Unique Local (ULA)</w:t>
            </w:r>
          </w:p>
        </w:tc>
        <w:tc>
          <w:tcPr>
            <w:tcW w:type="dxa" w:w="4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EEF5FB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privat, nicht im Internet routbar – Pendant zu RFC 1918 (praktisch fd00::/8)</w:t>
            </w:r>
          </w:p>
        </w:tc>
      </w:tr>
      <w:tr>
        <w:tc>
          <w:tcPr>
            <w:tcW w:type="dxa" w:w="17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color w:val="003366"/>
                <w:sz w:val="21"/>
                <w:szCs w:val="21"/>
              </w:rPr>
              <w:t xml:space="preserve">::1  /  ::</w:t>
            </w:r>
          </w:p>
        </w:tc>
        <w:tc>
          <w:tcPr>
            <w:tcW w:type="dxa" w:w="24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1C2833"/>
                <w:sz w:val="22"/>
                <w:szCs w:val="22"/>
              </w:rPr>
              <w:t xml:space="preserve">Spezial</w:t>
            </w:r>
          </w:p>
        </w:tc>
        <w:tc>
          <w:tcPr>
            <w:tcW w:type="dxa" w:w="49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::1 = Loopback (wie 127.0.0.1), :: = nicht spezifiziert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6  Adresszuweisung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Statisch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Die Adresse wird manuell konfiguriert; typisch für Server und Router.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SLAAC (Stateless Address Autoconfiguration)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Das Gerät bildet seine Adresse selbst: Der Router teilt per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Router Advertisement (RA)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das Präfix mit, die Interface-ID erzeugt der Host. Kein Server nötig.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DHCPv6 –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Zentrale Adressvergabe über einen Server, </w:t>
      </w:r>
      <w:r>
        <w:rPr>
          <w:rFonts w:ascii="Calibri" w:cs="Calibri" w:eastAsia="Calibri" w:hAnsi="Calibri"/>
          <w:i/>
          <w:iCs/>
          <w:color w:val="1C2833"/>
          <w:sz w:val="22"/>
          <w:szCs w:val="22"/>
        </w:rPr>
        <w:t xml:space="preserve">stateful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(Server verwaltet die Zuordnung) oder </w:t>
      </w:r>
      <w:r>
        <w:rPr>
          <w:rFonts w:ascii="Calibri" w:cs="Calibri" w:eastAsia="Calibri" w:hAnsi="Calibri"/>
          <w:i/>
          <w:iCs/>
          <w:color w:val="1C2833"/>
          <w:sz w:val="22"/>
          <w:szCs w:val="22"/>
        </w:rPr>
        <w:t xml:space="preserve">stateless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(nur Zusatzinfos wie DNS).</w:t>
      </w:r>
    </w:p>
    <w:p>
      <w:pPr>
        <w:pBdr>
          <w:left w:val="single" w:color="0066AA" w:sz="18" w:space="10"/>
        </w:pBdr>
        <w:shd w:fill="D6E4F0" w:color="auto" w:val="clear"/>
        <w:spacing w:after="120" w:before="8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NDP (Neighbor Discovery Protocol):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In IPv6 übernimmt NDP die Nachbarschafts- und Routererkennung im Segment und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ersetzt damit das ARP von IPv4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Die Detail-Mechanik (Neighbor Solicitation/Advertisement, DAD u. a.) wird im FISI-Modul behandelt – hier genügt: NDP ersetzt ARP.</w:t>
      </w:r>
    </w:p>
    <w:p>
      <w:pPr>
        <w:pStyle w:val="Heading1"/>
      </w:pPr>
      <w:r>
        <w:t xml:space="preserve">7  Woher kommt die Interface-ID? – EUI-64</w:t>
      </w:r>
    </w:p>
    <w:p>
      <w:pPr>
        <w:spacing w:after="12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Bei SLAAC liefert der Router nur das Präfix –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Interface-ID bildet der Host selbst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Das klassische Verfahren dafür ist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EUI-64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 Aus der 48 Bit langen MAC-Adresse des Interfaces wird eine 64 Bit lange Interface-ID. Damit ist erklärt, wie die rechte Hälfte der Adresse aus Abschnitt 2 zustande kommt.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Das Verfahren hat drei Schritte: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Schritt 1 – Teilen: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Die MAC-Adresse wird in zwei Hälften zu je 24 Bit zerlegt: Herstellerteil (OUI) und Geräteteil.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Schritt 2 – Einschieben: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Zwischen die beiden Hälften kommen die 16 Bit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FFFE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Damit sind aus 48 Bit genau 64 Bit geworden.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Schritt 3 – U/L-Bit kippen: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Das 7. Bit des ersten Bytes wird umgedreht.</w:t>
      </w:r>
    </w:p>
    <w:p>
      <w:pPr>
        <w:spacing w:after="80"/>
      </w:pP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Beispiel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– MAC-Adresse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00:1A:2B:3C:4D:5E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1 – teilen (OUI | Geräteteil)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00:1A:2B  |  3C:4D:5E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2 – FFFE in die Mitte einschieben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001A2B  FFFE  3C4D5E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Schritt 3 – U/L-Bit im ersten Byte kippen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00  →  02</w:t>
            </w:r>
          </w:p>
          <w:p>
            <w:r>
              <w:rPr>
                <w:rFonts w:ascii="Calibri" w:cs="Calibri" w:eastAsia="Calibri" w:hAnsi="Calibri"/>
                <w:i/>
                <w:iCs/>
                <w:color w:val="4A5B6B"/>
                <w:sz w:val="18"/>
                <w:szCs w:val="18"/>
              </w:rPr>
              <w:t xml:space="preserve">binär: 0000 0000  →  0000 0010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Ergebnis – Interface-ID (64 Bit)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021A:2BFF:FE3C:4D5E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D6E4F0" w:sz="1"/>
              <w:left w:val="single" w:color="D6E4F0" w:sz="1"/>
              <w:bottom w:val="single" w:color="D6E4F0" w:sz="1"/>
              <w:right w:val="single" w:color="D6E4F0" w:sz="1"/>
            </w:tcBorders>
            <w:shd w:fill="EEF5FB" w:color="auto" w:val="clear"/>
            <w:tcMar>
              <w:top w:type="dxa" w:w="90"/>
              <w:left w:type="dxa" w:w="160"/>
              <w:bottom w:type="dxa" w:w="90"/>
              <w:right w:type="dxa" w:w="160"/>
            </w:tcMar>
          </w:tcPr>
          <w:p>
            <w:pPr>
              <w:spacing w:after="3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19"/>
                <w:szCs w:val="19"/>
              </w:rPr>
              <w:t xml:space="preserve">Daraus die Link-Local-Adresse (fe80::/10)</w:t>
            </w:r>
          </w:p>
          <w:p>
            <w:r>
              <w:rPr>
                <w:rFonts w:ascii="Consolas" w:cs="Consolas" w:eastAsia="Consolas" w:hAnsi="Consolas"/>
                <w:b/>
                <w:bCs/>
                <w:color w:val="1C2833"/>
                <w:sz w:val="24"/>
                <w:szCs w:val="24"/>
              </w:rPr>
              <w:t xml:space="preserve">fe80::21a:2bff:fe3c:4d5e</w:t>
            </w:r>
          </w:p>
        </w:tc>
      </w:tr>
    </w:tbl>
    <w:p>
      <w:pPr>
        <w:spacing w:after="80"/>
      </w:pPr>
    </w:p>
    <w:p>
      <w:pPr>
        <w:pBdr>
          <w:left w:val="single" w:color="0066AA" w:sz="18" w:space="10"/>
        </w:pBdr>
        <w:shd w:fill="D6E4F0" w:color="auto" w:val="clear"/>
        <w:spacing w:after="120" w:before="8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Achtung beim U/L-Bit: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Das Bit wird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gekippt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nicht addiert. Bei den allermeisten MAC-Adressen steht es auf 0, dort wirkt das Kippen wie „+2“ (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00→02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3C→3E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). Steht es bereits auf 1, geht es in die andere Richtung (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AA→A8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52→50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). Wer stur addiert, rechnet in diesen Fällen falsch.</w:t>
      </w:r>
    </w:p>
    <w:p>
      <w:pPr>
        <w:spacing w:after="60"/>
      </w:pPr>
    </w:p>
    <w:p>
      <w:pPr>
        <w:pBdr>
          <w:left w:val="single" w:color="0066AA" w:sz="18" w:space="10"/>
        </w:pBdr>
        <w:shd w:fill="D6E4F0" w:color="auto" w:val="clear"/>
        <w:spacing w:after="120" w:before="8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Realitäts-Check: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Aktuelle Betriebssysteme (Windows, Android, iOS, die meisten Linux-Distributionen) bilden ihre Adressen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nicht mehr nach EUI-64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sondern über Privacy Extensions bzw. stabile Zufalls-Interface-IDs – sonst wäre die MAC-Adresse weltweit in jeder Verbindung sichtbar und das Gerät nachverfolgbar. Im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ipconfig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des eigenen Rechners findet man die MAC daher meist nicht wieder. EUI-64 bleibt trotzdem prüfungsrelevant und erklärt den Aufbau der Interface-ID.</w:t>
      </w:r>
    </w:p>
    <w:p>
      <w:pPr>
        <w:spacing w:after="120" w:line="262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Praxis-Tipp: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Cisco-Geräte bilden ihre Link-Local-Adressen weiterhin nach EUI-64. In Packet Tracer zeigt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show ipv6 interface brief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eine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fe80::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-Adresse, in deren Mitte das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ff:fe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deutlich zu erkennen ist – dort lässt sich das Verfahren am eigenen Aufbau nachprüfen.</w:t>
      </w:r>
    </w:p>
    <w:p>
      <w:pPr>
        <w:pStyle w:val="Heading1"/>
      </w:pPr>
      <w:r>
        <w:t xml:space="preserve">8  Vor- und Nachteile</w:t>
      </w:r>
    </w:p>
    <w:tbl>
      <w:tblPr>
        <w:tblW w:type="dxa" w:w="902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single" w:color="EEF5FB" w:sz="1"/>
              <w:left w:val="single" w:color="EEF5FB" w:sz="1"/>
              <w:bottom w:val="single" w:color="EEF5FB" w:sz="1"/>
              <w:right w:val="single" w:color="EEF5FB" w:sz="1"/>
            </w:tcBorders>
            <w:shd w:fill="EEF5FB" w:color="auto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4"/>
                <w:szCs w:val="24"/>
              </w:rPr>
              <w:t xml:space="preserve">Vorteile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riesiger Adressraum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kein NAT nötig – echtes Ende-zu-Ende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Autokonfiguration (SLAAC)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vereinfachter, fester Header</w:t>
            </w:r>
          </w:p>
        </w:tc>
        <w:tc>
          <w:tcPr>
            <w:tcW w:type="dxa" w:w="4513"/>
            <w:tcBorders>
              <w:top w:val="single" w:color="FBF1DC" w:sz="1"/>
              <w:left w:val="single" w:color="FBF1DC" w:sz="1"/>
              <w:bottom w:val="single" w:color="FBF1DC" w:sz="1"/>
              <w:right w:val="single" w:color="FBF1DC" w:sz="1"/>
            </w:tcBorders>
            <w:shd w:fill="FBF1DC" w:color="auto" w:val="clear"/>
            <w:tcMar>
              <w:top w:type="dxa" w:w="140"/>
              <w:left w:type="dxa" w:w="160"/>
              <w:bottom w:type="dxa" w:w="140"/>
              <w:right w:type="dxa" w:w="160"/>
            </w:tcMar>
            <w:vAlign w:val="top"/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B8860B"/>
                <w:sz w:val="24"/>
                <w:szCs w:val="24"/>
              </w:rPr>
              <w:t xml:space="preserve">Nachteile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schwerer lesbar und merkbar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Umstellungsaufwand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Koexistenz IPv4/IPv6 (Dual-Stack)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40"/>
            </w:pPr>
            <w:r>
              <w:rPr>
                <w:rFonts w:ascii="Calibri" w:cs="Calibri" w:eastAsia="Calibri" w:hAnsi="Calibri"/>
                <w:color w:val="1C2833"/>
                <w:sz w:val="22"/>
                <w:szCs w:val="22"/>
              </w:rPr>
              <w:t xml:space="preserve">Sicherheits-Neuland bei Fehlkonfiguration</w:t>
            </w:r>
          </w:p>
        </w:tc>
      </w:tr>
    </w:tbl>
    <w:p>
      <w:pPr>
        <w:spacing w:after="80"/>
      </w:pPr>
    </w:p>
    <w:p>
      <w:pPr>
        <w:pStyle w:val="Heading1"/>
      </w:pPr>
      <w:r>
        <w:t xml:space="preserve">9  Fazit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IPv6 löst die Adressknappheit dauerhaft.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Kürzungsregeln sicher beherrschen: führende Nullen weg, längste Null-Folge →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::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(nur einmal).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Adressart am Präfix erkennen (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2000::/3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fe80::/10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</w:t>
      </w:r>
      <w:r>
        <w:rPr>
          <w:rFonts w:ascii="Consolas" w:cs="Consolas" w:eastAsia="Consolas" w:hAnsi="Consolas"/>
          <w:color w:val="003366"/>
          <w:sz w:val="21"/>
          <w:szCs w:val="21"/>
        </w:rPr>
        <w:t xml:space="preserve">ff00::/8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…).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EUI-64: MAC teilen, </w:t>
      </w:r>
      <w:r>
        <w:rPr>
          <w:rFonts w:ascii="Consolas" w:cs="Consolas" w:eastAsia="Consolas" w:hAnsi="Consolas"/>
          <w:color w:val="1C2833"/>
          <w:sz w:val="22"/>
          <w:szCs w:val="22"/>
        </w:rPr>
        <w:t xml:space="preserve">FFFE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einschieben, U/L-Bit kippen – heute meist durch Privacy Extensions ersetzt.</w:t>
      </w:r>
    </w:p>
    <w:p>
      <w:pPr>
        <w:pStyle w:val="ListParagraph"/>
        <w:numPr>
          <w:ilvl w:val="0"/>
          <w:numId w:val="2"/>
        </w:numPr>
        <w:spacing w:after="60" w:line="262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Adresszuweisung: statisch · SLAAC · DHCPv6.</w:t>
      </w:r>
    </w:p>
    <w:p>
      <w:pPr>
        <w:pBdr>
          <w:top w:val="single" w:color="D6E4F0" w:sz="4" w:space="8"/>
        </w:pBdr>
        <w:spacing w:before="120"/>
      </w:pPr>
      <w:r>
        <w:rPr>
          <w:rFonts w:ascii="Calibri" w:cs="Calibri" w:eastAsia="Calibri" w:hAnsi="Calibri"/>
          <w:b/>
          <w:bCs/>
          <w:color w:val="003366"/>
          <w:sz w:val="21"/>
          <w:szCs w:val="21"/>
        </w:rPr>
        <w:t xml:space="preserve">Zum Üben: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Der interaktive IPv6-Trainer bietet fünf Modi: Kürzen, Expandieren, Adressart erkennen, MAC → Interface-ID (EUI-64) und Subnetz bilden – randomisiert, mit Sofort-Rückmeldung und Rechenweg.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IPv6 – Adressierung · Modul J / LF9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  <w:rPr>
        <w:color w:val="0066AA"/>
      </w:r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2026-06-17T05:18:29.982Z</dcterms:created>
  <dcterms:modified xsi:type="dcterms:W3CDTF">2026-06-17T05:18:29.982Z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