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003366"/>
          <w:sz w:val="36"/>
          <w:szCs w:val="36"/>
        </w:rPr>
        <w:t xml:space="preserve">Lernzettel – Daten &amp; Schnittstellen</w:t>
      </w:r>
    </w:p>
    <w:p>
      <w:pPr>
        <w:spacing w:after="30"/>
      </w:pPr>
      <w:r>
        <w:rPr>
          <w:color w:val="0066AA"/>
          <w:sz w:val="22"/>
          <w:szCs w:val="22"/>
        </w:rPr>
        <w:t xml:space="preserve">Datenformate · Datenquellen &amp; Recht · REST-API</w:t>
      </w:r>
    </w:p>
    <w:p>
      <w:pPr>
        <w:spacing w:after="150"/>
      </w:pPr>
      <w:r>
        <w:rPr>
          <w:color w:val="5B6B7A"/>
          <w:sz w:val="18"/>
          <w:szCs w:val="18"/>
        </w:rPr>
        <w:t xml:space="preserve">Lernfeld 8 · Vorbereitung Klausur Teil 1 · bfw Lübeck</w:t>
      </w:r>
    </w:p>
    <w:p>
      <w:pPr>
        <w:spacing w:after="70" w:before="200"/>
      </w:pPr>
      <w:r>
        <w:rPr>
          <w:b/>
          <w:bCs/>
          <w:color w:val="003366"/>
          <w:sz w:val="26"/>
          <w:szCs w:val="26"/>
        </w:rPr>
        <w:t xml:space="preserve">1  Datenformate</w:t>
      </w:r>
    </w:p>
    <w:p>
      <w:pPr>
        <w:spacing w:after="30" w:before="80"/>
      </w:pPr>
      <w:r>
        <w:rPr>
          <w:b/>
          <w:bCs/>
          <w:color w:val="0066AA"/>
          <w:sz w:val="21"/>
          <w:szCs w:val="21"/>
        </w:rPr>
        <w:t xml:space="preserve">Die drei Formate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CSV: </w:t>
      </w:r>
      <w:r>
        <w:rPr>
          <w:sz w:val="21"/>
          <w:szCs w:val="21"/>
        </w:rPr>
        <w:t xml:space="preserve">flach/tabellarisch, Werte durch Trennzeichen (; oder ,). Einfach, aber keine Verschachtelung.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XML: </w:t>
      </w:r>
      <w:r>
        <w:rPr>
          <w:sz w:val="21"/>
          <w:szCs w:val="21"/>
        </w:rPr>
        <w:t xml:space="preserve">hierarchisch, mit öffnenden/schließenden Tags &lt;…&gt;&lt;/…&gt;. Ausführlich, gut prüfbar.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JSON: </w:t>
      </w:r>
      <w:r>
        <w:rPr>
          <w:sz w:val="21"/>
          <w:szCs w:val="21"/>
        </w:rPr>
        <w:t xml:space="preserve">hierarchisch, Schlüssel-Wert-Paare in { }, Listen in [ ]. Kompakt, Standard für Web-APIs.</w:t>
      </w:r>
    </w:p>
    <w:p>
      <w:pPr>
        <w:spacing w:after="30" w:before="80"/>
      </w:pPr>
      <w:r>
        <w:rPr>
          <w:b/>
          <w:bCs/>
          <w:color w:val="0066AA"/>
          <w:sz w:val="21"/>
          <w:szCs w:val="21"/>
        </w:rPr>
        <w:t xml:space="preserve">Dieselben Daten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CSV : auftragsNr;kunde;datum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  1001;Ostsee Handel;2026-03-12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JSON: { "auftragsNr":1001, "kunde":"Ostsee Handel",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    "datum":"2026-03-12" }</w:t>
            </w:r>
          </w:p>
        </w:tc>
      </w:tr>
    </w:tbl>
    <w:p>
      <w:pPr>
        <w:spacing w:after="30" w:before="80"/>
      </w:pPr>
      <w:r>
        <w:rPr>
          <w:b/>
          <w:bCs/>
          <w:color w:val="0066AA"/>
          <w:sz w:val="21"/>
          <w:szCs w:val="21"/>
        </w:rPr>
        <w:t xml:space="preserve">Wichtig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Strukturierungsgrad: </w:t>
      </w:r>
      <w:r>
        <w:rPr>
          <w:sz w:val="21"/>
          <w:szCs w:val="21"/>
        </w:rPr>
        <w:t xml:space="preserve">strukturiert (DB-Tabelle) · semistrukturiert (XML/JSON) · unstrukturiert (Fließtext).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Encoding: </w:t>
      </w:r>
      <w:r>
        <w:rPr>
          <w:sz w:val="21"/>
          <w:szCs w:val="21"/>
        </w:rPr>
        <w:t xml:space="preserve">UTF-8 verwenden. Falsches Encoding → Zeichenfehler (aus „ä“ wird „Ã¤“).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Wann was: </w:t>
      </w:r>
      <w:r>
        <w:rPr>
          <w:sz w:val="21"/>
          <w:szCs w:val="21"/>
        </w:rPr>
        <w:t xml:space="preserve">CSV für einfache Massendaten; XML/JSON für verschachtelte Strukturen; JSON für Schnittstellen.</w:t>
      </w:r>
    </w:p>
    <w:p>
      <w:pPr>
        <w:spacing w:after="70" w:before="200"/>
      </w:pPr>
      <w:r>
        <w:rPr>
          <w:b/>
          <w:bCs/>
          <w:color w:val="003366"/>
          <w:sz w:val="26"/>
          <w:szCs w:val="26"/>
        </w:rPr>
        <w:t xml:space="preserve">2  Datenquellen &amp; Recht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Datenquelle </w:t>
      </w:r>
      <w:r>
        <w:rPr>
          <w:sz w:val="21"/>
          <w:szCs w:val="21"/>
        </w:rPr>
        <w:t xml:space="preserve">liefert Daten, </w:t>
      </w:r>
      <w:r>
        <w:rPr>
          <w:b/>
          <w:bCs/>
          <w:sz w:val="21"/>
          <w:szCs w:val="21"/>
        </w:rPr>
        <w:t xml:space="preserve">Datensenke </w:t>
      </w:r>
      <w:r>
        <w:rPr>
          <w:sz w:val="21"/>
          <w:szCs w:val="21"/>
        </w:rPr>
        <w:t xml:space="preserve">nimmt sie auf. Ein System kann beides sein.</w:t>
      </w:r>
    </w:p>
    <w:p>
      <w:pPr>
        <w:spacing w:after="30" w:before="80"/>
      </w:pPr>
      <w:r>
        <w:rPr>
          <w:b/>
          <w:bCs/>
          <w:color w:val="0066AA"/>
          <w:sz w:val="21"/>
          <w:szCs w:val="21"/>
        </w:rPr>
        <w:t xml:space="preserve">Arten &amp; Zugriff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Datei</w:t>
            </w:r>
          </w:p>
        </w:tc>
        <w:tc>
          <w:tcPr>
            <w:tcW w:type="dxa" w:w="60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über Pfad / Netzlaufwerk</w:t>
            </w:r>
          </w:p>
        </w:tc>
      </w:tr>
      <w:tr>
        <w:tc>
          <w:tcPr>
            <w:tcW w:type="dxa" w:w="30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Datenbank</w:t>
            </w:r>
          </w:p>
        </w:tc>
        <w:tc>
          <w:tcPr>
            <w:tcW w:type="dxa" w:w="60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über Connection-String und SQL</w:t>
            </w:r>
          </w:p>
        </w:tc>
      </w:tr>
      <w:tr>
        <w:tc>
          <w:tcPr>
            <w:tcW w:type="dxa" w:w="30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Web-API</w:t>
            </w:r>
          </w:p>
        </w:tc>
        <w:tc>
          <w:tcPr>
            <w:tcW w:type="dxa" w:w="60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über HTTP-Endpunkt, meist mit Authentifizierung</w:t>
            </w:r>
          </w:p>
        </w:tc>
      </w:tr>
      <w:tr>
        <w:tc>
          <w:tcPr>
            <w:tcW w:type="dxa" w:w="30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Sensor / IoT</w:t>
            </w:r>
          </w:p>
        </w:tc>
        <w:tc>
          <w:tcPr>
            <w:tcW w:type="dxa" w:w="60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über Gateway / Protokoll (z. B. MQTT)</w:t>
            </w:r>
          </w:p>
        </w:tc>
      </w:tr>
    </w:tbl>
    <w:p>
      <w:pPr>
        <w:spacing w:after="30" w:before="80"/>
      </w:pPr>
      <w:r>
        <w:rPr>
          <w:b/>
          <w:bCs/>
          <w:color w:val="0066AA"/>
          <w:sz w:val="21"/>
          <w:szCs w:val="21"/>
        </w:rPr>
        <w:t xml:space="preserve">Datenqualität prüfen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sz w:val="21"/>
          <w:szCs w:val="21"/>
        </w:rPr>
        <w:t xml:space="preserve">Vollständigkeit · Format &amp; Encoding · Aktualität · Dubletten · Plausibilität (negative Mengen, unmögliche Datumswerte).</w:t>
      </w:r>
    </w:p>
    <w:p>
      <w:pPr>
        <w:spacing w:after="30" w:before="80"/>
      </w:pPr>
      <w:r>
        <w:rPr>
          <w:b/>
          <w:bCs/>
          <w:color w:val="0066AA"/>
          <w:sz w:val="21"/>
          <w:szCs w:val="21"/>
        </w:rPr>
        <w:t xml:space="preserve">DSGVO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Personenbezogen = </w:t>
      </w:r>
      <w:r>
        <w:rPr>
          <w:sz w:val="21"/>
          <w:szCs w:val="21"/>
        </w:rPr>
        <w:t xml:space="preserve">jede Info zu einer identifizierbaren Person (Name, Adresse, Kundennummer, IP).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Grundsätze: </w:t>
      </w:r>
      <w:r>
        <w:rPr>
          <w:sz w:val="21"/>
          <w:szCs w:val="21"/>
        </w:rPr>
        <w:t xml:space="preserve">Rechtsgrundlage nötig · Zweckbindung · Datenminimierung · Speicherbegrenzung · Schutz/Verschlüsselung.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AVV: </w:t>
      </w:r>
      <w:r>
        <w:rPr>
          <w:sz w:val="21"/>
          <w:szCs w:val="21"/>
        </w:rPr>
        <w:t xml:space="preserve">Auftragsverarbeitungsvertrag, sobald ein Dienstleister personenbezogene Daten im Auftrag verarbeitet.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"/>
            </w:pPr>
            <w:r>
              <w:rPr>
                <w:b/>
                <w:bCs/>
                <w:color w:val="8A6100"/>
              </w:rPr>
              <w:t xml:space="preserve">Faustregel</w:t>
            </w:r>
          </w:p>
          <w:p>
            <w:pPr>
              <w:spacing w:after="0" w:line="258"/>
            </w:pPr>
            <w:r>
              <w:rPr>
                <w:color w:val="6B4D08"/>
              </w:rPr>
              <w:t xml:space="preserve">Im Zweifel so wenig personenbezogene Daten wie möglich übertragen und den Zugriff so eng wie möglich fassen.</w:t>
            </w:r>
          </w:p>
        </w:tc>
      </w:tr>
    </w:tbl>
    <w:p>
      <w:pPr>
        <w:spacing w:after="70" w:before="200"/>
      </w:pPr>
      <w:r>
        <w:rPr>
          <w:b/>
          <w:bCs/>
          <w:color w:val="003366"/>
          <w:sz w:val="26"/>
          <w:szCs w:val="26"/>
        </w:rPr>
        <w:t xml:space="preserve">3  REST-API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HTTP: </w:t>
      </w:r>
      <w:r>
        <w:rPr>
          <w:sz w:val="21"/>
          <w:szCs w:val="21"/>
        </w:rPr>
        <w:t xml:space="preserve">Client stellt Anfrage (Request), Server antwortet (Response). Zustandslos. Bestandteile: Methode, URL, Header, Body.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REST-Prinzip: </w:t>
      </w:r>
      <w:r>
        <w:rPr>
          <w:sz w:val="21"/>
          <w:szCs w:val="21"/>
        </w:rPr>
        <w:t xml:space="preserve">alles ist eine Ressource mit eigener URL; die Methode bestimmt die Aktion; Daten meist als JSON.</w:t>
      </w:r>
    </w:p>
    <w:p>
      <w:pPr>
        <w:spacing w:after="30" w:before="80"/>
      </w:pPr>
      <w:r>
        <w:rPr>
          <w:b/>
          <w:bCs/>
          <w:color w:val="0066AA"/>
          <w:sz w:val="21"/>
          <w:szCs w:val="21"/>
        </w:rPr>
        <w:t xml:space="preserve">HTTP-Methoden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326"/>
        <w:gridCol w:w="1500"/>
        <w:gridCol w:w="2500"/>
      </w:tblGrid>
      <w:tr>
        <w:trPr>
          <w:tblHeader/>
        </w:trPr>
        <w:tc>
          <w:tcPr>
            <w:tcW w:type="dxa" w:w="17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Methode</w:t>
            </w:r>
          </w:p>
        </w:tc>
        <w:tc>
          <w:tcPr>
            <w:tcW w:type="dxa" w:w="3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Zweck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CRUD</w:t>
            </w:r>
          </w:p>
        </w:tc>
        <w:tc>
          <w:tcPr>
            <w:tcW w:type="dxa" w:w="2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idempotent</w:t>
            </w:r>
          </w:p>
        </w:tc>
      </w:tr>
      <w:tr>
        <w:tc>
          <w:tcPr>
            <w:tcW w:type="dxa" w:w="17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GET</w:t>
            </w:r>
          </w:p>
        </w:tc>
        <w:tc>
          <w:tcPr>
            <w:tcW w:type="dxa" w:w="3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lesen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Read</w:t>
            </w:r>
          </w:p>
        </w:tc>
        <w:tc>
          <w:tcPr>
            <w:tcW w:type="dxa" w:w="2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ja</w:t>
            </w:r>
          </w:p>
        </w:tc>
      </w:tr>
      <w:tr>
        <w:tc>
          <w:tcPr>
            <w:tcW w:type="dxa" w:w="17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POST</w:t>
            </w:r>
          </w:p>
        </w:tc>
        <w:tc>
          <w:tcPr>
            <w:tcW w:type="dxa" w:w="3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anlegen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Create</w:t>
            </w:r>
          </w:p>
        </w:tc>
        <w:tc>
          <w:tcPr>
            <w:tcW w:type="dxa" w:w="2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nein</w:t>
            </w:r>
          </w:p>
        </w:tc>
      </w:tr>
      <w:tr>
        <w:tc>
          <w:tcPr>
            <w:tcW w:type="dxa" w:w="17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PUT</w:t>
            </w:r>
          </w:p>
        </w:tc>
        <w:tc>
          <w:tcPr>
            <w:tcW w:type="dxa" w:w="3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ersetzen/ändern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Update</w:t>
            </w:r>
          </w:p>
        </w:tc>
        <w:tc>
          <w:tcPr>
            <w:tcW w:type="dxa" w:w="2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ja</w:t>
            </w:r>
          </w:p>
        </w:tc>
      </w:tr>
      <w:tr>
        <w:tc>
          <w:tcPr>
            <w:tcW w:type="dxa" w:w="17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DELETE</w:t>
            </w:r>
          </w:p>
        </w:tc>
        <w:tc>
          <w:tcPr>
            <w:tcW w:type="dxa" w:w="3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löschen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Delete</w:t>
            </w:r>
          </w:p>
        </w:tc>
        <w:tc>
          <w:tcPr>
            <w:tcW w:type="dxa" w:w="2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ja</w:t>
            </w:r>
          </w:p>
        </w:tc>
      </w:tr>
    </w:tbl>
    <w:p>
      <w:pPr>
        <w:spacing w:after="30" w:before="80"/>
      </w:pPr>
      <w:r>
        <w:rPr>
          <w:b/>
          <w:bCs/>
          <w:color w:val="0066AA"/>
          <w:sz w:val="21"/>
          <w:szCs w:val="21"/>
        </w:rPr>
        <w:t xml:space="preserve">Statuscodes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926"/>
        <w:gridCol w:w="4600"/>
      </w:tblGrid>
      <w:tr>
        <w:trPr>
          <w:tblHeader/>
        </w:trPr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Gruppe</w:t>
            </w:r>
          </w:p>
        </w:tc>
        <w:tc>
          <w:tcPr>
            <w:tcW w:type="dxa" w:w="29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Bedeutung</w:t>
            </w:r>
          </w:p>
        </w:tc>
        <w:tc>
          <w:tcPr>
            <w:tcW w:type="dxa" w:w="4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Beispiele</w:t>
            </w:r>
          </w:p>
        </w:tc>
      </w:tr>
      <w:tr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2xx</w:t>
            </w:r>
          </w:p>
        </w:tc>
        <w:tc>
          <w:tcPr>
            <w:tcW w:type="dxa" w:w="29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Erfolg</w:t>
            </w:r>
          </w:p>
        </w:tc>
        <w:tc>
          <w:tcPr>
            <w:tcW w:type="dxa" w:w="4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200 OK · 201 Created</w:t>
            </w:r>
          </w:p>
        </w:tc>
      </w:tr>
      <w:tr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4xx</w:t>
            </w:r>
          </w:p>
        </w:tc>
        <w:tc>
          <w:tcPr>
            <w:tcW w:type="dxa" w:w="29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Client-Fehler</w:t>
            </w:r>
          </w:p>
        </w:tc>
        <w:tc>
          <w:tcPr>
            <w:tcW w:type="dxa" w:w="4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400 · 401 · 403 · 404</w:t>
            </w:r>
          </w:p>
        </w:tc>
      </w:tr>
      <w:tr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5xx</w:t>
            </w:r>
          </w:p>
        </w:tc>
        <w:tc>
          <w:tcPr>
            <w:tcW w:type="dxa" w:w="29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Server-Fehler</w:t>
            </w:r>
          </w:p>
        </w:tc>
        <w:tc>
          <w:tcPr>
            <w:tcW w:type="dxa" w:w="4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500 · 503</w:t>
            </w:r>
          </w:p>
        </w:tc>
      </w:tr>
    </w:tbl>
    <w:p>
      <w:pPr>
        <w:spacing w:after="30" w:before="80"/>
      </w:pPr>
      <w:r>
        <w:rPr>
          <w:b/>
          <w:bCs/>
          <w:color w:val="0066AA"/>
          <w:sz w:val="21"/>
          <w:szCs w:val="21"/>
        </w:rPr>
        <w:t xml:space="preserve">Sicherheit &amp; Auth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Authentifizierung: </w:t>
      </w:r>
      <w:r>
        <w:rPr>
          <w:sz w:val="21"/>
          <w:szCs w:val="21"/>
        </w:rPr>
        <w:t xml:space="preserve">API-Key im Header, oder Token/JWT („Authorization: Bearer …“).</w:t>
      </w:r>
    </w:p>
    <w:p>
      <w:pPr>
        <w:pStyle w:val="ListParagraph"/>
        <w:numPr>
          <w:ilvl w:val="0"/>
          <w:numId w:val="2"/>
        </w:numPr>
        <w:spacing w:after="36" w:line="256"/>
      </w:pPr>
      <w:r>
        <w:rPr>
          <w:b/>
          <w:bCs/>
          <w:sz w:val="21"/>
          <w:szCs w:val="21"/>
        </w:rPr>
        <w:t xml:space="preserve">Immer HTTPS/TLS </w:t>
      </w:r>
      <w:r>
        <w:rPr>
          <w:sz w:val="21"/>
          <w:szCs w:val="21"/>
        </w:rPr>
        <w:t xml:space="preserve">– nie im Klartext; Zugangsdaten/Tokens nie in die URL (landen in Logs).</w:t>
      </w:r>
    </w:p>
    <w:p>
      <w:pPr>
        <w:spacing w:after="30" w:before="80"/>
      </w:pPr>
      <w:r>
        <w:rPr>
          <w:b/>
          <w:bCs/>
          <w:color w:val="0066AA"/>
          <w:sz w:val="21"/>
          <w:szCs w:val="21"/>
        </w:rPr>
        <w:t xml:space="preserve">Konsumieren (sprachunabhängig)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C#:  var json = await client.GetStringAsync(url);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 var a = JsonSerializer.Deserialize&lt;Auftrag&gt;(json);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JS:  const res = await fetch(url);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 const a = await res.json();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80" w:right="1280" w:bottom="1120" w:left="12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6"/>
        <w:szCs w:val="16"/>
      </w:rPr>
      <w:t xml:space="preserve">Seite </w:t>
    </w:r>
    <w:r>
      <w:rPr>
        <w:color w:val="5B6B7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A"/>
        <w:sz w:val="16"/>
        <w:szCs w:val="16"/>
      </w:rPr>
      <w:t xml:space="preserve"> von </w:t>
    </w:r>
    <w:r>
      <w:rPr>
        <w:color w:val="5B6B7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B7A"/>
        <w:sz w:val="16"/>
        <w:szCs w:val="16"/>
      </w:rPr>
      <w:t xml:space="preserve">bfw Lübeck · LF8 – Lernzettel Teil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2026-06-17T10:09:33.510Z</dcterms:created>
  <dcterms:modified xsi:type="dcterms:W3CDTF">2026-06-17T10:09:33.522Z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