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003366"/>
          <w:sz w:val="38"/>
          <w:szCs w:val="38"/>
        </w:rPr>
        <w:t xml:space="preserve">Datenquellen analysieren – Recht &amp; DSGVO</w:t>
      </w:r>
    </w:p>
    <w:p>
      <w:pPr>
        <w:spacing w:after="40"/>
      </w:pPr>
      <w:r>
        <w:rPr>
          <w:color w:val="0066AA"/>
          <w:sz w:val="24"/>
          <w:szCs w:val="24"/>
        </w:rPr>
        <w:t xml:space="preserve">Begleitmaterial zum Foliensatz</w:t>
      </w:r>
    </w:p>
    <w:p>
      <w:pPr>
        <w:spacing w:after="200"/>
      </w:pPr>
      <w:r>
        <w:rPr>
          <w:color w:val="5B6B7A"/>
          <w:sz w:val="20"/>
          <w:szCs w:val="20"/>
        </w:rPr>
        <w:t xml:space="preserve">Lernfeld 8 – Daten systemübergreifend bereitstellen · Lernsituation 1 · bfw Lübeck</w:t>
      </w:r>
    </w:p>
    <w:p>
      <w:pPr>
        <w:pStyle w:val="Heading2"/>
      </w:pPr>
      <w:r>
        <w:t xml:space="preserve">1  Worum es geht</w:t>
      </w:r>
    </w:p>
    <w:p>
      <w:pPr>
        <w:spacing w:after="140" w:line="276"/>
      </w:pPr>
      <w:r>
        <w:t xml:space="preserve">Bevor Daten aufbereitet und bereitgestellt werden können, muss klar sein, woher sie stammen. Jede Datenquelle wird in drei Schritten erschlossen: Man muss sie zunächst finden, dann den technischen Zugriff klären und schließlich bewerten, ob die Datenqualität ausreicht und die Nutzung rechtlich zulässig ist. Diese Analyse ist die Grundlage für den späteren Entwurf der Schnittstelle.</w:t>
      </w:r>
    </w:p>
    <w:p>
      <w:pPr>
        <w:pStyle w:val="Heading2"/>
      </w:pPr>
      <w:r>
        <w:t xml:space="preserve">2  Datenquelle und Datensenke</w:t>
      </w:r>
    </w:p>
    <w:p>
      <w:pPr>
        <w:spacing w:after="140" w:line="276"/>
      </w:pPr>
      <w:r>
        <w:t xml:space="preserve">Daten fließen immer von einer Quelle zu einer Senke. Eine Datenquelle liefert Daten – etwa ein Partner, der eine Auftragsdatei schickt, eine Datenbank, die ausgelesen wird, oder eine Web-API, die einen Sendungsstatus zurückgibt. Eine Datensenke nimmt Daten auf, beispielsweise die eigene Datenbank, eine Exportdatei oder eine REST-Schnittstelle, die Daten als JSON (JavaScript Object Notation) ausgibt. Häufig ist ein und dasselbe System beides – es liest aus einer Quelle und schreibt in eine Senke.</w:t>
      </w:r>
    </w:p>
    <w:p>
      <w:pPr>
        <w:pStyle w:val="Heading2"/>
      </w:pPr>
      <w:r>
        <w:t xml:space="preserve">3  Arten von Datenquellen und Zugriff</w:t>
      </w:r>
    </w:p>
    <w:p>
      <w:pPr>
        <w:spacing w:after="140" w:line="276"/>
      </w:pPr>
      <w:r>
        <w:t xml:space="preserve">In der Praxis begegnen Ihnen vor allem fünf Arten von Quellen, die jeweils anders angesprochen werden:</w:t>
      </w:r>
    </w:p>
    <w:p>
      <w:pPr>
        <w:pStyle w:val="ListParagraph"/>
        <w:numPr>
          <w:ilvl w:val="0"/>
          <w:numId w:val="2"/>
        </w:numPr>
        <w:spacing w:after="60" w:line="270"/>
      </w:pPr>
      <w:r>
        <w:rPr>
          <w:b/>
          <w:bCs/>
        </w:rPr>
        <w:t xml:space="preserve">Datenbanken </w:t>
      </w:r>
      <w:r>
        <w:t xml:space="preserve">(relational mit SQL oder NoSQL): strukturiert und direkt abfragbar; Zugriff über einen Connection-String.</w:t>
      </w:r>
    </w:p>
    <w:p>
      <w:pPr>
        <w:pStyle w:val="ListParagraph"/>
        <w:numPr>
          <w:ilvl w:val="0"/>
          <w:numId w:val="2"/>
        </w:numPr>
        <w:spacing w:after="60" w:line="270"/>
      </w:pPr>
      <w:r>
        <w:rPr>
          <w:b/>
          <w:bCs/>
        </w:rPr>
        <w:t xml:space="preserve">Dateien </w:t>
      </w:r>
      <w:r>
        <w:t xml:space="preserve">(CSV, XML, JSON, Excel): liegen auf einem Datenträger oder Netzlaufwerk; Zugriff über den Dateipfad.</w:t>
      </w:r>
    </w:p>
    <w:p>
      <w:pPr>
        <w:pStyle w:val="ListParagraph"/>
        <w:numPr>
          <w:ilvl w:val="0"/>
          <w:numId w:val="2"/>
        </w:numPr>
        <w:spacing w:after="60" w:line="270"/>
      </w:pPr>
      <w:r>
        <w:rPr>
          <w:b/>
          <w:bCs/>
        </w:rPr>
        <w:t xml:space="preserve">Web-APIs / Schnittstellen </w:t>
      </w:r>
      <w:r>
        <w:t xml:space="preserve">(Application Programming Interface): liefern Daten über HTTP, meist als JSON; Zugriff über eine Endpunkt-URL, in der Regel mit Authentifizierung.</w:t>
      </w:r>
    </w:p>
    <w:p>
      <w:pPr>
        <w:pStyle w:val="ListParagraph"/>
        <w:numPr>
          <w:ilvl w:val="0"/>
          <w:numId w:val="2"/>
        </w:numPr>
        <w:spacing w:after="60" w:line="270"/>
      </w:pPr>
      <w:r>
        <w:rPr>
          <w:b/>
          <w:bCs/>
        </w:rPr>
        <w:t xml:space="preserve">Sensoren / IoT </w:t>
      </w:r>
      <w:r>
        <w:t xml:space="preserve">(Internet of Things): liefern Messwerte über Gateways und Protokolle wie MQTT.</w:t>
      </w:r>
    </w:p>
    <w:p>
      <w:pPr>
        <w:pStyle w:val="ListParagraph"/>
        <w:numPr>
          <w:ilvl w:val="0"/>
          <w:numId w:val="2"/>
        </w:numPr>
        <w:spacing w:after="60" w:line="270"/>
      </w:pPr>
      <w:r>
        <w:rPr>
          <w:b/>
          <w:bCs/>
        </w:rPr>
        <w:t xml:space="preserve">Benutzereingaben: </w:t>
      </w:r>
      <w:r>
        <w:t xml:space="preserve">Formulare und Eingabemasken – die Datenqualität schwankt hier am stärksten und muss besonders geprüft werden.</w:t>
      </w:r>
    </w:p>
    <w:p>
      <w:pPr>
        <w:pStyle w:val="Heading2"/>
      </w:pPr>
      <w:r>
        <w:t xml:space="preserve">4  Datenqualität prüfen</w:t>
      </w:r>
    </w:p>
    <w:p>
      <w:pPr>
        <w:spacing w:after="140" w:line="276"/>
      </w:pPr>
      <w:r>
        <w:t xml:space="preserve">Schlechte Eingangsdaten lassen sich später kaum noch reparieren, deshalb gehört die Prüfung an den Anfang. Wichtige Kriterien sind:</w:t>
      </w:r>
    </w:p>
    <w:p>
      <w:pPr>
        <w:pStyle w:val="ListParagraph"/>
        <w:numPr>
          <w:ilvl w:val="0"/>
          <w:numId w:val="2"/>
        </w:numPr>
        <w:spacing w:after="60" w:line="270"/>
      </w:pPr>
      <w:r>
        <w:rPr>
          <w:b/>
          <w:bCs/>
        </w:rPr>
        <w:t xml:space="preserve">Vollständigkeit – </w:t>
      </w:r>
      <w:r>
        <w:t xml:space="preserve">fehlen Pflichtfelder?</w:t>
      </w:r>
    </w:p>
    <w:p>
      <w:pPr>
        <w:pStyle w:val="ListParagraph"/>
        <w:numPr>
          <w:ilvl w:val="0"/>
          <w:numId w:val="2"/>
        </w:numPr>
        <w:spacing w:after="60" w:line="270"/>
      </w:pPr>
      <w:r>
        <w:rPr>
          <w:b/>
          <w:bCs/>
        </w:rPr>
        <w:t xml:space="preserve">Format und Encoding – </w:t>
      </w:r>
      <w:r>
        <w:t xml:space="preserve">stimmen die Datentypen, ist die Datei korrekt in UTF-8 (8-Bit Unicode Transformation Format) kodiert?</w:t>
      </w:r>
    </w:p>
    <w:p>
      <w:pPr>
        <w:pStyle w:val="ListParagraph"/>
        <w:numPr>
          <w:ilvl w:val="0"/>
          <w:numId w:val="2"/>
        </w:numPr>
        <w:spacing w:after="60" w:line="270"/>
      </w:pPr>
      <w:r>
        <w:rPr>
          <w:b/>
          <w:bCs/>
        </w:rPr>
        <w:t xml:space="preserve">Aktualität – </w:t>
      </w:r>
      <w:r>
        <w:t xml:space="preserve">wie alt sind die Daten?</w:t>
      </w:r>
    </w:p>
    <w:p>
      <w:pPr>
        <w:pStyle w:val="ListParagraph"/>
        <w:numPr>
          <w:ilvl w:val="0"/>
          <w:numId w:val="2"/>
        </w:numPr>
        <w:spacing w:after="60" w:line="270"/>
      </w:pPr>
      <w:r>
        <w:rPr>
          <w:b/>
          <w:bCs/>
        </w:rPr>
        <w:t xml:space="preserve">Dubletten – </w:t>
      </w:r>
      <w:r>
        <w:t xml:space="preserve">kommen Datensätze doppelt vor?</w:t>
      </w:r>
    </w:p>
    <w:p>
      <w:pPr>
        <w:pStyle w:val="ListParagraph"/>
        <w:numPr>
          <w:ilvl w:val="0"/>
          <w:numId w:val="2"/>
        </w:numPr>
        <w:spacing w:after="60" w:line="270"/>
      </w:pPr>
      <w:r>
        <w:rPr>
          <w:b/>
          <w:bCs/>
        </w:rPr>
        <w:t xml:space="preserve">Wertebereich und Plausibilität – </w:t>
      </w:r>
      <w:r>
        <w:t xml:space="preserve">gibt es negative Mengen oder unmögliche Datumswerte?</w:t>
      </w:r>
    </w:p>
    <w:p>
      <w:pPr>
        <w:pStyle w:val="Heading2"/>
      </w:pPr>
      <w:r>
        <w:t xml:space="preserve">5  Rechtliche Rahmenbedingungen</w:t>
      </w:r>
    </w:p>
    <w:p>
      <w:pPr>
        <w:spacing w:after="140" w:line="276"/>
      </w:pPr>
      <w:r>
        <w:t xml:space="preserve">Dass man technisch auf Daten zugreifen kann, bedeutet nicht, dass man sie auch nutzen darf. Drei Felder sind zu prüfen: der Datenschutz (sind personenbezogene Daten betroffen?), die Zugriffsrechte (wer darf überhaupt zugreifen?) und die Nutzungsrechte (welche Lizenz oder vertragliche Vereinbarung gilt für die Daten, dürfen sie weitergegeben werden?).</w:t>
      </w:r>
    </w:p>
    <w:p>
      <w:pPr>
        <w:pStyle w:val="Heading2"/>
      </w:pPr>
      <w:r>
        <w:t xml:space="preserve">6  DSGVO beim Datenaustausch</w:t>
      </w:r>
    </w:p>
    <w:p>
      <w:pPr>
        <w:spacing w:after="140" w:line="276"/>
      </w:pPr>
      <w:r>
        <w:t xml:space="preserve">Sobald personenbezogene Daten verarbeitet werden, gilt die DSGVO (Datenschutz-Grundverordnung). Personenbezogen ist jede Information, die sich auf eine identifizierbare Person bezieht – etwa Name, Adresse oder eine Kundennummer. Folgende Grundsätze sind beim systemübergreifenden Austausch besonders wichtig:</w:t>
      </w:r>
    </w:p>
    <w:p>
      <w:pPr>
        <w:pStyle w:val="ListParagraph"/>
        <w:numPr>
          <w:ilvl w:val="0"/>
          <w:numId w:val="2"/>
        </w:numPr>
        <w:spacing w:after="60" w:line="270"/>
      </w:pPr>
      <w:r>
        <w:rPr>
          <w:b/>
          <w:bCs/>
        </w:rPr>
        <w:t xml:space="preserve">Rechtsgrundlage: </w:t>
      </w:r>
      <w:r>
        <w:t xml:space="preserve">Jede Verarbeitung braucht eine Grundlage, zum Beispiel die Erfüllung eines Vertrags oder eine Einwilligung.</w:t>
      </w:r>
    </w:p>
    <w:p>
      <w:pPr>
        <w:pStyle w:val="ListParagraph"/>
        <w:numPr>
          <w:ilvl w:val="0"/>
          <w:numId w:val="2"/>
        </w:numPr>
        <w:spacing w:after="60" w:line="270"/>
      </w:pPr>
      <w:r>
        <w:rPr>
          <w:b/>
          <w:bCs/>
        </w:rPr>
        <w:t xml:space="preserve">Zweckbindung: </w:t>
      </w:r>
      <w:r>
        <w:t xml:space="preserve">Daten dürfen nur für den Zweck genutzt werden, für den sie erhoben wurden.</w:t>
      </w:r>
    </w:p>
    <w:p>
      <w:pPr>
        <w:pStyle w:val="ListParagraph"/>
        <w:numPr>
          <w:ilvl w:val="0"/>
          <w:numId w:val="2"/>
        </w:numPr>
        <w:spacing w:after="60" w:line="270"/>
      </w:pPr>
      <w:r>
        <w:rPr>
          <w:b/>
          <w:bCs/>
        </w:rPr>
        <w:t xml:space="preserve">Datenminimierung: </w:t>
      </w:r>
      <w:r>
        <w:t xml:space="preserve">Es werden nur die wirklich benötigten Felder übertragen – nicht alles, was technisch vorhanden ist.</w:t>
      </w:r>
    </w:p>
    <w:p>
      <w:pPr>
        <w:pStyle w:val="ListParagraph"/>
        <w:numPr>
          <w:ilvl w:val="0"/>
          <w:numId w:val="2"/>
        </w:numPr>
        <w:spacing w:after="60" w:line="270"/>
      </w:pPr>
      <w:r>
        <w:rPr>
          <w:b/>
          <w:bCs/>
        </w:rPr>
        <w:t xml:space="preserve">Auftragsverarbeitung: </w:t>
      </w:r>
      <w:r>
        <w:t xml:space="preserve">Wird ein Dienstleister einbezogen, ist ein AVV (Auftragsverarbeitungsvertrag) erforderlich.</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single" w:color="F0A500" w:sz="4"/>
              <w:left w:val="single" w:color="F0A500" w:sz="4"/>
              <w:bottom w:val="single" w:color="F0A500" w:sz="4"/>
              <w:right w:val="single" w:color="F0A500" w:sz="4"/>
            </w:tcBorders>
            <w:shd w:fill="FFF7E6" w:val="clear"/>
            <w:tcMar>
              <w:top w:type="dxa" w:w="120"/>
              <w:left w:type="dxa" w:w="160"/>
              <w:bottom w:type="dxa" w:w="120"/>
              <w:right w:type="dxa" w:w="160"/>
            </w:tcMar>
          </w:tcPr>
          <w:p>
            <w:pPr>
              <w:spacing w:after="40"/>
            </w:pPr>
            <w:r>
              <w:rPr>
                <w:b/>
                <w:bCs/>
                <w:color w:val="8A6100"/>
              </w:rPr>
              <w:t xml:space="preserve">Faustregel</w:t>
            </w:r>
          </w:p>
          <w:p>
            <w:pPr>
              <w:spacing w:after="0"/>
            </w:pPr>
            <w:r>
              <w:rPr>
                <w:color w:val="6B4D08"/>
              </w:rPr>
              <w:t xml:space="preserve">Im Zweifel so wenig personenbezogene Daten wie möglich übertragen und den Zugriff so eng wie möglich fassen. Eine ausführliche Übersicht der Betroffenenrechte finden Sie im Referenzblatt aus Lernfeld 4.</w:t>
            </w:r>
          </w:p>
        </w:tc>
      </w:tr>
    </w:tbl>
    <w:p>
      <w:pPr>
        <w:pStyle w:val="Heading2"/>
      </w:pPr>
      <w:r>
        <w:t xml:space="preserve">7  Praktische Konsequenzen für den Entwurf</w:t>
      </w:r>
    </w:p>
    <w:p>
      <w:pPr>
        <w:pStyle w:val="ListParagraph"/>
        <w:numPr>
          <w:ilvl w:val="0"/>
          <w:numId w:val="2"/>
        </w:numPr>
        <w:spacing w:after="60" w:line="270"/>
      </w:pPr>
      <w:r>
        <w:t xml:space="preserve">Nur benötigte Felder übertragen statt ganzer Datensätze.</w:t>
      </w:r>
    </w:p>
    <w:p>
      <w:pPr>
        <w:pStyle w:val="ListParagraph"/>
        <w:numPr>
          <w:ilvl w:val="0"/>
          <w:numId w:val="2"/>
        </w:numPr>
        <w:spacing w:after="60" w:line="270"/>
      </w:pPr>
      <w:r>
        <w:t xml:space="preserve">Zugriff einschränken: Rollen und technische Konten statt persönlicher Zugänge.</w:t>
      </w:r>
    </w:p>
    <w:p>
      <w:pPr>
        <w:pStyle w:val="ListParagraph"/>
        <w:numPr>
          <w:ilvl w:val="0"/>
          <w:numId w:val="2"/>
        </w:numPr>
        <w:spacing w:after="60" w:line="270"/>
      </w:pPr>
      <w:r>
        <w:t xml:space="preserve">Übertragung verschlüsseln über TLS/HTTPS (Transport Layer Security) – dieses Thema vertiefen wir in der REST-Woche.</w:t>
      </w:r>
    </w:p>
    <w:p>
      <w:pPr>
        <w:pStyle w:val="ListParagraph"/>
        <w:numPr>
          <w:ilvl w:val="0"/>
          <w:numId w:val="2"/>
        </w:numPr>
        <w:spacing w:after="60" w:line="270"/>
      </w:pPr>
      <w:r>
        <w:t xml:space="preserve">Ein Lösch- und Aufbewahrungskonzept festlegen.</w:t>
      </w:r>
    </w:p>
    <w:p>
      <w:pPr>
        <w:pStyle w:val="Heading2"/>
      </w:pPr>
      <w:r>
        <w:t xml:space="preserve">8  Nordfracht – Quellen im Überblick</w:t>
      </w:r>
    </w:p>
    <w:p>
      <w:pPr>
        <w:spacing w:after="140" w:line="276"/>
      </w:pPr>
      <w:r>
        <w:t xml:space="preserve">Für die Nordfracht Logistik GmbH lassen sich die wichtigsten Quellen so einordnen: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400"/>
        <w:gridCol w:w="1500"/>
        <w:gridCol w:w="2926"/>
        <w:gridCol w:w="2200"/>
      </w:tblGrid>
      <w:tr>
        <w:trPr>
          <w:tblHeader/>
        </w:trPr>
        <w:tc>
          <w:tcPr>
            <w:tcW w:type="dxa" w:w="2400"/>
            <w:tcBorders>
              <w:top w:val="single" w:color="C2D6EA" w:sz="2"/>
              <w:left w:val="single" w:color="C2D6EA" w:sz="2"/>
              <w:bottom w:val="single" w:color="C2D6EA" w:sz="2"/>
              <w:right w:val="single" w:color="C2D6EA" w:sz="2"/>
            </w:tcBorders>
            <w:shd w:fill="003366" w:val="clear"/>
            <w:tcMar>
              <w:top w:type="dxa" w:w="80"/>
              <w:left w:type="dxa" w:w="120"/>
              <w:bottom w:type="dxa" w:w="80"/>
              <w:right w:type="dxa" w:w="120"/>
            </w:tcMar>
            <w:vAlign w:val="center"/>
          </w:tcPr>
          <w:p>
            <w:r>
              <w:rPr>
                <w:b/>
                <w:bCs/>
                <w:color w:val="FFFFFF"/>
              </w:rPr>
              <w:t xml:space="preserve">Quelle</w:t>
            </w:r>
          </w:p>
        </w:tc>
        <w:tc>
          <w:tcPr>
            <w:tcW w:type="dxa" w:w="1500"/>
            <w:tcBorders>
              <w:top w:val="single" w:color="C2D6EA" w:sz="2"/>
              <w:left w:val="single" w:color="C2D6EA" w:sz="2"/>
              <w:bottom w:val="single" w:color="C2D6EA" w:sz="2"/>
              <w:right w:val="single" w:color="C2D6EA" w:sz="2"/>
            </w:tcBorders>
            <w:shd w:fill="003366" w:val="clear"/>
            <w:tcMar>
              <w:top w:type="dxa" w:w="80"/>
              <w:left w:type="dxa" w:w="120"/>
              <w:bottom w:type="dxa" w:w="80"/>
              <w:right w:type="dxa" w:w="120"/>
            </w:tcMar>
            <w:vAlign w:val="center"/>
          </w:tcPr>
          <w:p>
            <w:r>
              <w:rPr>
                <w:b/>
                <w:bCs/>
                <w:color w:val="FFFFFF"/>
              </w:rPr>
              <w:t xml:space="preserve">Art</w:t>
            </w:r>
          </w:p>
        </w:tc>
        <w:tc>
          <w:tcPr>
            <w:tcW w:type="dxa" w:w="2926"/>
            <w:tcBorders>
              <w:top w:val="single" w:color="C2D6EA" w:sz="2"/>
              <w:left w:val="single" w:color="C2D6EA" w:sz="2"/>
              <w:bottom w:val="single" w:color="C2D6EA" w:sz="2"/>
              <w:right w:val="single" w:color="C2D6EA" w:sz="2"/>
            </w:tcBorders>
            <w:shd w:fill="003366" w:val="clear"/>
            <w:tcMar>
              <w:top w:type="dxa" w:w="80"/>
              <w:left w:type="dxa" w:w="120"/>
              <w:bottom w:type="dxa" w:w="80"/>
              <w:right w:type="dxa" w:w="120"/>
            </w:tcMar>
            <w:vAlign w:val="center"/>
          </w:tcPr>
          <w:p>
            <w:r>
              <w:rPr>
                <w:b/>
                <w:bCs/>
                <w:color w:val="FFFFFF"/>
              </w:rPr>
              <w:t xml:space="preserve">Zugriff</w:t>
            </w:r>
          </w:p>
        </w:tc>
        <w:tc>
          <w:tcPr>
            <w:tcW w:type="dxa" w:w="2200"/>
            <w:tcBorders>
              <w:top w:val="single" w:color="C2D6EA" w:sz="2"/>
              <w:left w:val="single" w:color="C2D6EA" w:sz="2"/>
              <w:bottom w:val="single" w:color="C2D6EA" w:sz="2"/>
              <w:right w:val="single" w:color="C2D6EA" w:sz="2"/>
            </w:tcBorders>
            <w:shd w:fill="003366" w:val="clear"/>
            <w:tcMar>
              <w:top w:type="dxa" w:w="80"/>
              <w:left w:type="dxa" w:w="120"/>
              <w:bottom w:type="dxa" w:w="80"/>
              <w:right w:type="dxa" w:w="120"/>
            </w:tcMar>
            <w:vAlign w:val="center"/>
          </w:tcPr>
          <w:p>
            <w:r>
              <w:rPr>
                <w:b/>
                <w:bCs/>
                <w:color w:val="FFFFFF"/>
              </w:rPr>
              <w:t xml:space="preserve">personenbezogen?</w:t>
            </w:r>
          </w:p>
        </w:tc>
      </w:tr>
      <w:tr>
        <w:tc>
          <w:tcPr>
            <w:tcW w:type="dxa" w:w="2400"/>
            <w:tcBorders>
              <w:top w:val="single" w:color="C2D6EA" w:sz="2"/>
              <w:left w:val="single" w:color="C2D6EA" w:sz="2"/>
              <w:bottom w:val="single" w:color="C2D6EA" w:sz="2"/>
              <w:right w:val="single" w:color="C2D6EA" w:sz="2"/>
            </w:tcBorders>
            <w:shd w:fill="D6E4F0" w:val="clear"/>
            <w:tcMar>
              <w:top w:type="dxa" w:w="80"/>
              <w:left w:type="dxa" w:w="120"/>
              <w:bottom w:type="dxa" w:w="80"/>
              <w:right w:type="dxa" w:w="120"/>
            </w:tcMar>
            <w:vAlign w:val="center"/>
          </w:tcPr>
          <w:p>
            <w:r>
              <w:t xml:space="preserve">Partner-Auftrags-CSV</w:t>
            </w:r>
          </w:p>
        </w:tc>
        <w:tc>
          <w:tcPr>
            <w:tcW w:type="dxa" w:w="1500"/>
            <w:tcBorders>
              <w:top w:val="single" w:color="C2D6EA" w:sz="2"/>
              <w:left w:val="single" w:color="C2D6EA" w:sz="2"/>
              <w:bottom w:val="single" w:color="C2D6EA" w:sz="2"/>
              <w:right w:val="single" w:color="C2D6EA" w:sz="2"/>
            </w:tcBorders>
            <w:tcMar>
              <w:top w:type="dxa" w:w="80"/>
              <w:left w:type="dxa" w:w="120"/>
              <w:bottom w:type="dxa" w:w="80"/>
              <w:right w:type="dxa" w:w="120"/>
            </w:tcMar>
            <w:vAlign w:val="center"/>
          </w:tcPr>
          <w:p>
            <w:r>
              <w:t xml:space="preserve">Datei</w:t>
            </w:r>
          </w:p>
        </w:tc>
        <w:tc>
          <w:tcPr>
            <w:tcW w:type="dxa" w:w="2926"/>
            <w:tcBorders>
              <w:top w:val="single" w:color="C2D6EA" w:sz="2"/>
              <w:left w:val="single" w:color="C2D6EA" w:sz="2"/>
              <w:bottom w:val="single" w:color="C2D6EA" w:sz="2"/>
              <w:right w:val="single" w:color="C2D6EA" w:sz="2"/>
            </w:tcBorders>
            <w:tcMar>
              <w:top w:type="dxa" w:w="80"/>
              <w:left w:type="dxa" w:w="120"/>
              <w:bottom w:type="dxa" w:w="80"/>
              <w:right w:type="dxa" w:w="120"/>
            </w:tcMar>
            <w:vAlign w:val="center"/>
          </w:tcPr>
          <w:p>
            <w:r>
              <w:t xml:space="preserve">Netzlaufwerk / Upload</w:t>
            </w:r>
          </w:p>
        </w:tc>
        <w:tc>
          <w:tcPr>
            <w:tcW w:type="dxa" w:w="2200"/>
            <w:tcBorders>
              <w:top w:val="single" w:color="C2D6EA" w:sz="2"/>
              <w:left w:val="single" w:color="C2D6EA" w:sz="2"/>
              <w:bottom w:val="single" w:color="C2D6EA" w:sz="2"/>
              <w:right w:val="single" w:color="C2D6EA" w:sz="2"/>
            </w:tcBorders>
            <w:tcMar>
              <w:top w:type="dxa" w:w="80"/>
              <w:left w:type="dxa" w:w="120"/>
              <w:bottom w:type="dxa" w:w="80"/>
              <w:right w:type="dxa" w:w="120"/>
            </w:tcMar>
            <w:vAlign w:val="center"/>
          </w:tcPr>
          <w:p>
            <w:r>
              <w:t xml:space="preserve">ja (Kunde)</w:t>
            </w:r>
          </w:p>
        </w:tc>
      </w:tr>
      <w:tr>
        <w:tc>
          <w:tcPr>
            <w:tcW w:type="dxa" w:w="2400"/>
            <w:tcBorders>
              <w:top w:val="single" w:color="C2D6EA" w:sz="2"/>
              <w:left w:val="single" w:color="C2D6EA" w:sz="2"/>
              <w:bottom w:val="single" w:color="C2D6EA" w:sz="2"/>
              <w:right w:val="single" w:color="C2D6EA" w:sz="2"/>
            </w:tcBorders>
            <w:shd w:fill="D6E4F0" w:val="clear"/>
            <w:tcMar>
              <w:top w:type="dxa" w:w="80"/>
              <w:left w:type="dxa" w:w="120"/>
              <w:bottom w:type="dxa" w:w="80"/>
              <w:right w:type="dxa" w:w="120"/>
            </w:tcMar>
            <w:vAlign w:val="center"/>
          </w:tcPr>
          <w:p>
            <w:r>
              <w:t xml:space="preserve">Interne Auftrags-DB</w:t>
            </w:r>
          </w:p>
        </w:tc>
        <w:tc>
          <w:tcPr>
            <w:tcW w:type="dxa" w:w="1500"/>
            <w:tcBorders>
              <w:top w:val="single" w:color="C2D6EA" w:sz="2"/>
              <w:left w:val="single" w:color="C2D6EA" w:sz="2"/>
              <w:bottom w:val="single" w:color="C2D6EA" w:sz="2"/>
              <w:right w:val="single" w:color="C2D6EA" w:sz="2"/>
            </w:tcBorders>
            <w:tcMar>
              <w:top w:type="dxa" w:w="80"/>
              <w:left w:type="dxa" w:w="120"/>
              <w:bottom w:type="dxa" w:w="80"/>
              <w:right w:type="dxa" w:w="120"/>
            </w:tcMar>
            <w:vAlign w:val="center"/>
          </w:tcPr>
          <w:p>
            <w:r>
              <w:t xml:space="preserve">Datenbank</w:t>
            </w:r>
          </w:p>
        </w:tc>
        <w:tc>
          <w:tcPr>
            <w:tcW w:type="dxa" w:w="2926"/>
            <w:tcBorders>
              <w:top w:val="single" w:color="C2D6EA" w:sz="2"/>
              <w:left w:val="single" w:color="C2D6EA" w:sz="2"/>
              <w:bottom w:val="single" w:color="C2D6EA" w:sz="2"/>
              <w:right w:val="single" w:color="C2D6EA" w:sz="2"/>
            </w:tcBorders>
            <w:tcMar>
              <w:top w:type="dxa" w:w="80"/>
              <w:left w:type="dxa" w:w="120"/>
              <w:bottom w:type="dxa" w:w="80"/>
              <w:right w:type="dxa" w:w="120"/>
            </w:tcMar>
            <w:vAlign w:val="center"/>
          </w:tcPr>
          <w:p>
            <w:r>
              <w:t xml:space="preserve">SQL / Connection-String</w:t>
            </w:r>
          </w:p>
        </w:tc>
        <w:tc>
          <w:tcPr>
            <w:tcW w:type="dxa" w:w="2200"/>
            <w:tcBorders>
              <w:top w:val="single" w:color="C2D6EA" w:sz="2"/>
              <w:left w:val="single" w:color="C2D6EA" w:sz="2"/>
              <w:bottom w:val="single" w:color="C2D6EA" w:sz="2"/>
              <w:right w:val="single" w:color="C2D6EA" w:sz="2"/>
            </w:tcBorders>
            <w:tcMar>
              <w:top w:type="dxa" w:w="80"/>
              <w:left w:type="dxa" w:w="120"/>
              <w:bottom w:type="dxa" w:w="80"/>
              <w:right w:type="dxa" w:w="120"/>
            </w:tcMar>
            <w:vAlign w:val="center"/>
          </w:tcPr>
          <w:p>
            <w:r>
              <w:t xml:space="preserve">ja (Kunde, Adresse)</w:t>
            </w:r>
          </w:p>
        </w:tc>
      </w:tr>
      <w:tr>
        <w:tc>
          <w:tcPr>
            <w:tcW w:type="dxa" w:w="2400"/>
            <w:tcBorders>
              <w:top w:val="single" w:color="C2D6EA" w:sz="2"/>
              <w:left w:val="single" w:color="C2D6EA" w:sz="2"/>
              <w:bottom w:val="single" w:color="C2D6EA" w:sz="2"/>
              <w:right w:val="single" w:color="C2D6EA" w:sz="2"/>
            </w:tcBorders>
            <w:shd w:fill="D6E4F0" w:val="clear"/>
            <w:tcMar>
              <w:top w:type="dxa" w:w="80"/>
              <w:left w:type="dxa" w:w="120"/>
              <w:bottom w:type="dxa" w:w="80"/>
              <w:right w:type="dxa" w:w="120"/>
            </w:tcMar>
            <w:vAlign w:val="center"/>
          </w:tcPr>
          <w:p>
            <w:r>
              <w:t xml:space="preserve">Tracking-Web-API</w:t>
            </w:r>
          </w:p>
        </w:tc>
        <w:tc>
          <w:tcPr>
            <w:tcW w:type="dxa" w:w="1500"/>
            <w:tcBorders>
              <w:top w:val="single" w:color="C2D6EA" w:sz="2"/>
              <w:left w:val="single" w:color="C2D6EA" w:sz="2"/>
              <w:bottom w:val="single" w:color="C2D6EA" w:sz="2"/>
              <w:right w:val="single" w:color="C2D6EA" w:sz="2"/>
            </w:tcBorders>
            <w:tcMar>
              <w:top w:type="dxa" w:w="80"/>
              <w:left w:type="dxa" w:w="120"/>
              <w:bottom w:type="dxa" w:w="80"/>
              <w:right w:type="dxa" w:w="120"/>
            </w:tcMar>
            <w:vAlign w:val="center"/>
          </w:tcPr>
          <w:p>
            <w:r>
              <w:t xml:space="preserve">Web-API</w:t>
            </w:r>
          </w:p>
        </w:tc>
        <w:tc>
          <w:tcPr>
            <w:tcW w:type="dxa" w:w="2926"/>
            <w:tcBorders>
              <w:top w:val="single" w:color="C2D6EA" w:sz="2"/>
              <w:left w:val="single" w:color="C2D6EA" w:sz="2"/>
              <w:bottom w:val="single" w:color="C2D6EA" w:sz="2"/>
              <w:right w:val="single" w:color="C2D6EA" w:sz="2"/>
            </w:tcBorders>
            <w:tcMar>
              <w:top w:type="dxa" w:w="80"/>
              <w:left w:type="dxa" w:w="120"/>
              <w:bottom w:type="dxa" w:w="80"/>
              <w:right w:type="dxa" w:w="120"/>
            </w:tcMar>
            <w:vAlign w:val="center"/>
          </w:tcPr>
          <w:p>
            <w:r>
              <w:t xml:space="preserve">HTTP + API-Key</w:t>
            </w:r>
          </w:p>
        </w:tc>
        <w:tc>
          <w:tcPr>
            <w:tcW w:type="dxa" w:w="2200"/>
            <w:tcBorders>
              <w:top w:val="single" w:color="C2D6EA" w:sz="2"/>
              <w:left w:val="single" w:color="C2D6EA" w:sz="2"/>
              <w:bottom w:val="single" w:color="C2D6EA" w:sz="2"/>
              <w:right w:val="single" w:color="C2D6EA" w:sz="2"/>
            </w:tcBorders>
            <w:tcMar>
              <w:top w:type="dxa" w:w="80"/>
              <w:left w:type="dxa" w:w="120"/>
              <w:bottom w:type="dxa" w:w="80"/>
              <w:right w:type="dxa" w:w="120"/>
            </w:tcMar>
            <w:vAlign w:val="center"/>
          </w:tcPr>
          <w:p>
            <w:r>
              <w:t xml:space="preserve">teils</w:t>
            </w:r>
          </w:p>
        </w:tc>
      </w:tr>
      <w:tr>
        <w:tc>
          <w:tcPr>
            <w:tcW w:type="dxa" w:w="2400"/>
            <w:tcBorders>
              <w:top w:val="single" w:color="C2D6EA" w:sz="2"/>
              <w:left w:val="single" w:color="C2D6EA" w:sz="2"/>
              <w:bottom w:val="single" w:color="C2D6EA" w:sz="2"/>
              <w:right w:val="single" w:color="C2D6EA" w:sz="2"/>
            </w:tcBorders>
            <w:shd w:fill="D6E4F0" w:val="clear"/>
            <w:tcMar>
              <w:top w:type="dxa" w:w="80"/>
              <w:left w:type="dxa" w:w="120"/>
              <w:bottom w:type="dxa" w:w="80"/>
              <w:right w:type="dxa" w:w="120"/>
            </w:tcMar>
            <w:vAlign w:val="center"/>
          </w:tcPr>
          <w:p>
            <w:r>
              <w:t xml:space="preserve">Lager-Temperatursensor</w:t>
            </w:r>
          </w:p>
        </w:tc>
        <w:tc>
          <w:tcPr>
            <w:tcW w:type="dxa" w:w="1500"/>
            <w:tcBorders>
              <w:top w:val="single" w:color="C2D6EA" w:sz="2"/>
              <w:left w:val="single" w:color="C2D6EA" w:sz="2"/>
              <w:bottom w:val="single" w:color="C2D6EA" w:sz="2"/>
              <w:right w:val="single" w:color="C2D6EA" w:sz="2"/>
            </w:tcBorders>
            <w:tcMar>
              <w:top w:type="dxa" w:w="80"/>
              <w:left w:type="dxa" w:w="120"/>
              <w:bottom w:type="dxa" w:w="80"/>
              <w:right w:type="dxa" w:w="120"/>
            </w:tcMar>
            <w:vAlign w:val="center"/>
          </w:tcPr>
          <w:p>
            <w:r>
              <w:t xml:space="preserve">IoT / Sensor</w:t>
            </w:r>
          </w:p>
        </w:tc>
        <w:tc>
          <w:tcPr>
            <w:tcW w:type="dxa" w:w="2926"/>
            <w:tcBorders>
              <w:top w:val="single" w:color="C2D6EA" w:sz="2"/>
              <w:left w:val="single" w:color="C2D6EA" w:sz="2"/>
              <w:bottom w:val="single" w:color="C2D6EA" w:sz="2"/>
              <w:right w:val="single" w:color="C2D6EA" w:sz="2"/>
            </w:tcBorders>
            <w:tcMar>
              <w:top w:type="dxa" w:w="80"/>
              <w:left w:type="dxa" w:w="120"/>
              <w:bottom w:type="dxa" w:w="80"/>
              <w:right w:type="dxa" w:w="120"/>
            </w:tcMar>
            <w:vAlign w:val="center"/>
          </w:tcPr>
          <w:p>
            <w:r>
              <w:t xml:space="preserve">MQTT / Gateway</w:t>
            </w:r>
          </w:p>
        </w:tc>
        <w:tc>
          <w:tcPr>
            <w:tcW w:type="dxa" w:w="2200"/>
            <w:tcBorders>
              <w:top w:val="single" w:color="C2D6EA" w:sz="2"/>
              <w:left w:val="single" w:color="C2D6EA" w:sz="2"/>
              <w:bottom w:val="single" w:color="C2D6EA" w:sz="2"/>
              <w:right w:val="single" w:color="C2D6EA" w:sz="2"/>
            </w:tcBorders>
            <w:tcMar>
              <w:top w:type="dxa" w:w="80"/>
              <w:left w:type="dxa" w:w="120"/>
              <w:bottom w:type="dxa" w:w="80"/>
              <w:right w:type="dxa" w:w="120"/>
            </w:tcMar>
            <w:vAlign w:val="center"/>
          </w:tcPr>
          <w:p>
            <w:r>
              <w:t xml:space="preserve">nein</w:t>
            </w:r>
          </w:p>
        </w:tc>
      </w:tr>
    </w:tbl>
    <w:p>
      <w:pPr>
        <w:spacing w:after="160" w:before="120"/>
      </w:pPr>
      <w:r>
        <w:rPr>
          <w:i/>
          <w:iCs/>
          <w:color w:val="0066AA"/>
        </w:rPr>
        <w:t xml:space="preserve">Sobald Kundendaten im Spiel sind, greift die DSGVO – das betrifft hier die meisten Quellen.</w:t>
      </w:r>
    </w:p>
    <w:p>
      <w:pPr>
        <w:pStyle w:val="Heading2"/>
      </w:pPr>
      <w:r>
        <w:t xml:space="preserve">Abkürzungsverzeichnis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0"/>
        <w:gridCol w:w="6826"/>
      </w:tblGrid>
      <w:tr>
        <w:trPr>
          <w:tblHeader/>
        </w:trPr>
        <w:tc>
          <w:tcPr>
            <w:tcW w:type="dxa" w:w="2200"/>
            <w:tcBorders>
              <w:top w:val="single" w:color="C2D6EA" w:sz="2"/>
              <w:left w:val="single" w:color="C2D6EA" w:sz="2"/>
              <w:bottom w:val="single" w:color="C2D6EA" w:sz="2"/>
              <w:right w:val="single" w:color="C2D6EA" w:sz="2"/>
            </w:tcBorders>
            <w:shd w:fill="003366" w:val="clear"/>
            <w:tcMar>
              <w:top w:type="dxa" w:w="80"/>
              <w:left w:type="dxa" w:w="120"/>
              <w:bottom w:type="dxa" w:w="80"/>
              <w:right w:type="dxa" w:w="120"/>
            </w:tcMar>
            <w:vAlign w:val="center"/>
          </w:tcPr>
          <w:p>
            <w:r>
              <w:rPr>
                <w:b/>
                <w:bCs/>
                <w:color w:val="FFFFFF"/>
              </w:rPr>
              <w:t xml:space="preserve">Abkürzung</w:t>
            </w:r>
          </w:p>
        </w:tc>
        <w:tc>
          <w:tcPr>
            <w:tcW w:type="dxa" w:w="6826"/>
            <w:tcBorders>
              <w:top w:val="single" w:color="C2D6EA" w:sz="2"/>
              <w:left w:val="single" w:color="C2D6EA" w:sz="2"/>
              <w:bottom w:val="single" w:color="C2D6EA" w:sz="2"/>
              <w:right w:val="single" w:color="C2D6EA" w:sz="2"/>
            </w:tcBorders>
            <w:shd w:fill="003366" w:val="clear"/>
            <w:tcMar>
              <w:top w:type="dxa" w:w="80"/>
              <w:left w:type="dxa" w:w="120"/>
              <w:bottom w:type="dxa" w:w="80"/>
              <w:right w:type="dxa" w:w="120"/>
            </w:tcMar>
            <w:vAlign w:val="center"/>
          </w:tcPr>
          <w:p>
            <w:r>
              <w:rPr>
                <w:b/>
                <w:bCs/>
                <w:color w:val="FFFFFF"/>
              </w:rPr>
              <w:t xml:space="preserve">Bedeutung</w:t>
            </w:r>
          </w:p>
        </w:tc>
      </w:tr>
      <w:tr>
        <w:tc>
          <w:tcPr>
            <w:tcW w:type="dxa" w:w="2200"/>
            <w:tcBorders>
              <w:top w:val="single" w:color="C2D6EA" w:sz="2"/>
              <w:left w:val="single" w:color="C2D6EA" w:sz="2"/>
              <w:bottom w:val="single" w:color="C2D6EA" w:sz="2"/>
              <w:right w:val="single" w:color="C2D6EA" w:sz="2"/>
            </w:tcBorders>
            <w:shd w:fill="EEF5FB" w:val="clear"/>
            <w:tcMar>
              <w:top w:type="dxa" w:w="80"/>
              <w:left w:type="dxa" w:w="120"/>
              <w:bottom w:type="dxa" w:w="80"/>
              <w:right w:type="dxa" w:w="120"/>
            </w:tcMar>
            <w:vAlign w:val="center"/>
          </w:tcPr>
          <w:p>
            <w:r>
              <w:t xml:space="preserve">API</w:t>
            </w:r>
          </w:p>
        </w:tc>
        <w:tc>
          <w:tcPr>
            <w:tcW w:type="dxa" w:w="6826"/>
            <w:tcBorders>
              <w:top w:val="single" w:color="C2D6EA" w:sz="2"/>
              <w:left w:val="single" w:color="C2D6EA" w:sz="2"/>
              <w:bottom w:val="single" w:color="C2D6EA" w:sz="2"/>
              <w:right w:val="single" w:color="C2D6EA" w:sz="2"/>
            </w:tcBorders>
            <w:tcMar>
              <w:top w:type="dxa" w:w="80"/>
              <w:left w:type="dxa" w:w="120"/>
              <w:bottom w:type="dxa" w:w="80"/>
              <w:right w:type="dxa" w:w="120"/>
            </w:tcMar>
            <w:vAlign w:val="center"/>
          </w:tcPr>
          <w:p>
            <w:r>
              <w:t xml:space="preserve">Application Programming Interface (Programmierschnittstelle)</w:t>
            </w:r>
          </w:p>
        </w:tc>
      </w:tr>
      <w:tr>
        <w:tc>
          <w:tcPr>
            <w:tcW w:type="dxa" w:w="2200"/>
            <w:tcBorders>
              <w:top w:val="single" w:color="C2D6EA" w:sz="2"/>
              <w:left w:val="single" w:color="C2D6EA" w:sz="2"/>
              <w:bottom w:val="single" w:color="C2D6EA" w:sz="2"/>
              <w:right w:val="single" w:color="C2D6EA" w:sz="2"/>
            </w:tcBorders>
            <w:shd w:fill="EEF5FB" w:val="clear"/>
            <w:tcMar>
              <w:top w:type="dxa" w:w="80"/>
              <w:left w:type="dxa" w:w="120"/>
              <w:bottom w:type="dxa" w:w="80"/>
              <w:right w:type="dxa" w:w="120"/>
            </w:tcMar>
            <w:vAlign w:val="center"/>
          </w:tcPr>
          <w:p>
            <w:r>
              <w:t xml:space="preserve">AVV</w:t>
            </w:r>
          </w:p>
        </w:tc>
        <w:tc>
          <w:tcPr>
            <w:tcW w:type="dxa" w:w="6826"/>
            <w:tcBorders>
              <w:top w:val="single" w:color="C2D6EA" w:sz="2"/>
              <w:left w:val="single" w:color="C2D6EA" w:sz="2"/>
              <w:bottom w:val="single" w:color="C2D6EA" w:sz="2"/>
              <w:right w:val="single" w:color="C2D6EA" w:sz="2"/>
            </w:tcBorders>
            <w:tcMar>
              <w:top w:type="dxa" w:w="80"/>
              <w:left w:type="dxa" w:w="120"/>
              <w:bottom w:type="dxa" w:w="80"/>
              <w:right w:type="dxa" w:w="120"/>
            </w:tcMar>
            <w:vAlign w:val="center"/>
          </w:tcPr>
          <w:p>
            <w:r>
              <w:t xml:space="preserve">Auftragsverarbeitungsvertrag</w:t>
            </w:r>
          </w:p>
        </w:tc>
      </w:tr>
      <w:tr>
        <w:tc>
          <w:tcPr>
            <w:tcW w:type="dxa" w:w="2200"/>
            <w:tcBorders>
              <w:top w:val="single" w:color="C2D6EA" w:sz="2"/>
              <w:left w:val="single" w:color="C2D6EA" w:sz="2"/>
              <w:bottom w:val="single" w:color="C2D6EA" w:sz="2"/>
              <w:right w:val="single" w:color="C2D6EA" w:sz="2"/>
            </w:tcBorders>
            <w:shd w:fill="EEF5FB" w:val="clear"/>
            <w:tcMar>
              <w:top w:type="dxa" w:w="80"/>
              <w:left w:type="dxa" w:w="120"/>
              <w:bottom w:type="dxa" w:w="80"/>
              <w:right w:type="dxa" w:w="120"/>
            </w:tcMar>
            <w:vAlign w:val="center"/>
          </w:tcPr>
          <w:p>
            <w:r>
              <w:t xml:space="preserve">DSGVO</w:t>
            </w:r>
          </w:p>
        </w:tc>
        <w:tc>
          <w:tcPr>
            <w:tcW w:type="dxa" w:w="6826"/>
            <w:tcBorders>
              <w:top w:val="single" w:color="C2D6EA" w:sz="2"/>
              <w:left w:val="single" w:color="C2D6EA" w:sz="2"/>
              <w:bottom w:val="single" w:color="C2D6EA" w:sz="2"/>
              <w:right w:val="single" w:color="C2D6EA" w:sz="2"/>
            </w:tcBorders>
            <w:tcMar>
              <w:top w:type="dxa" w:w="80"/>
              <w:left w:type="dxa" w:w="120"/>
              <w:bottom w:type="dxa" w:w="80"/>
              <w:right w:type="dxa" w:w="120"/>
            </w:tcMar>
            <w:vAlign w:val="center"/>
          </w:tcPr>
          <w:p>
            <w:r>
              <w:t xml:space="preserve">Datenschutz-Grundverordnung</w:t>
            </w:r>
          </w:p>
        </w:tc>
      </w:tr>
      <w:tr>
        <w:tc>
          <w:tcPr>
            <w:tcW w:type="dxa" w:w="2200"/>
            <w:tcBorders>
              <w:top w:val="single" w:color="C2D6EA" w:sz="2"/>
              <w:left w:val="single" w:color="C2D6EA" w:sz="2"/>
              <w:bottom w:val="single" w:color="C2D6EA" w:sz="2"/>
              <w:right w:val="single" w:color="C2D6EA" w:sz="2"/>
            </w:tcBorders>
            <w:shd w:fill="EEF5FB" w:val="clear"/>
            <w:tcMar>
              <w:top w:type="dxa" w:w="80"/>
              <w:left w:type="dxa" w:w="120"/>
              <w:bottom w:type="dxa" w:w="80"/>
              <w:right w:type="dxa" w:w="120"/>
            </w:tcMar>
            <w:vAlign w:val="center"/>
          </w:tcPr>
          <w:p>
            <w:r>
              <w:t xml:space="preserve">HTTP</w:t>
            </w:r>
          </w:p>
        </w:tc>
        <w:tc>
          <w:tcPr>
            <w:tcW w:type="dxa" w:w="6826"/>
            <w:tcBorders>
              <w:top w:val="single" w:color="C2D6EA" w:sz="2"/>
              <w:left w:val="single" w:color="C2D6EA" w:sz="2"/>
              <w:bottom w:val="single" w:color="C2D6EA" w:sz="2"/>
              <w:right w:val="single" w:color="C2D6EA" w:sz="2"/>
            </w:tcBorders>
            <w:tcMar>
              <w:top w:type="dxa" w:w="80"/>
              <w:left w:type="dxa" w:w="120"/>
              <w:bottom w:type="dxa" w:w="80"/>
              <w:right w:type="dxa" w:w="120"/>
            </w:tcMar>
            <w:vAlign w:val="center"/>
          </w:tcPr>
          <w:p>
            <w:r>
              <w:t xml:space="preserve">Hypertext Transfer Protocol</w:t>
            </w:r>
          </w:p>
        </w:tc>
      </w:tr>
      <w:tr>
        <w:tc>
          <w:tcPr>
            <w:tcW w:type="dxa" w:w="2200"/>
            <w:tcBorders>
              <w:top w:val="single" w:color="C2D6EA" w:sz="2"/>
              <w:left w:val="single" w:color="C2D6EA" w:sz="2"/>
              <w:bottom w:val="single" w:color="C2D6EA" w:sz="2"/>
              <w:right w:val="single" w:color="C2D6EA" w:sz="2"/>
            </w:tcBorders>
            <w:shd w:fill="EEF5FB" w:val="clear"/>
            <w:tcMar>
              <w:top w:type="dxa" w:w="80"/>
              <w:left w:type="dxa" w:w="120"/>
              <w:bottom w:type="dxa" w:w="80"/>
              <w:right w:type="dxa" w:w="120"/>
            </w:tcMar>
            <w:vAlign w:val="center"/>
          </w:tcPr>
          <w:p>
            <w:r>
              <w:t xml:space="preserve">IoT</w:t>
            </w:r>
          </w:p>
        </w:tc>
        <w:tc>
          <w:tcPr>
            <w:tcW w:type="dxa" w:w="6826"/>
            <w:tcBorders>
              <w:top w:val="single" w:color="C2D6EA" w:sz="2"/>
              <w:left w:val="single" w:color="C2D6EA" w:sz="2"/>
              <w:bottom w:val="single" w:color="C2D6EA" w:sz="2"/>
              <w:right w:val="single" w:color="C2D6EA" w:sz="2"/>
            </w:tcBorders>
            <w:tcMar>
              <w:top w:type="dxa" w:w="80"/>
              <w:left w:type="dxa" w:w="120"/>
              <w:bottom w:type="dxa" w:w="80"/>
              <w:right w:type="dxa" w:w="120"/>
            </w:tcMar>
            <w:vAlign w:val="center"/>
          </w:tcPr>
          <w:p>
            <w:r>
              <w:t xml:space="preserve">Internet of Things (Internet der Dinge)</w:t>
            </w:r>
          </w:p>
        </w:tc>
      </w:tr>
      <w:tr>
        <w:tc>
          <w:tcPr>
            <w:tcW w:type="dxa" w:w="2200"/>
            <w:tcBorders>
              <w:top w:val="single" w:color="C2D6EA" w:sz="2"/>
              <w:left w:val="single" w:color="C2D6EA" w:sz="2"/>
              <w:bottom w:val="single" w:color="C2D6EA" w:sz="2"/>
              <w:right w:val="single" w:color="C2D6EA" w:sz="2"/>
            </w:tcBorders>
            <w:shd w:fill="EEF5FB" w:val="clear"/>
            <w:tcMar>
              <w:top w:type="dxa" w:w="80"/>
              <w:left w:type="dxa" w:w="120"/>
              <w:bottom w:type="dxa" w:w="80"/>
              <w:right w:type="dxa" w:w="120"/>
            </w:tcMar>
            <w:vAlign w:val="center"/>
          </w:tcPr>
          <w:p>
            <w:r>
              <w:t xml:space="preserve">JSON</w:t>
            </w:r>
          </w:p>
        </w:tc>
        <w:tc>
          <w:tcPr>
            <w:tcW w:type="dxa" w:w="6826"/>
            <w:tcBorders>
              <w:top w:val="single" w:color="C2D6EA" w:sz="2"/>
              <w:left w:val="single" w:color="C2D6EA" w:sz="2"/>
              <w:bottom w:val="single" w:color="C2D6EA" w:sz="2"/>
              <w:right w:val="single" w:color="C2D6EA" w:sz="2"/>
            </w:tcBorders>
            <w:tcMar>
              <w:top w:type="dxa" w:w="80"/>
              <w:left w:type="dxa" w:w="120"/>
              <w:bottom w:type="dxa" w:w="80"/>
              <w:right w:type="dxa" w:w="120"/>
            </w:tcMar>
            <w:vAlign w:val="center"/>
          </w:tcPr>
          <w:p>
            <w:r>
              <w:t xml:space="preserve">JavaScript Object Notation</w:t>
            </w:r>
          </w:p>
        </w:tc>
      </w:tr>
      <w:tr>
        <w:tc>
          <w:tcPr>
            <w:tcW w:type="dxa" w:w="2200"/>
            <w:tcBorders>
              <w:top w:val="single" w:color="C2D6EA" w:sz="2"/>
              <w:left w:val="single" w:color="C2D6EA" w:sz="2"/>
              <w:bottom w:val="single" w:color="C2D6EA" w:sz="2"/>
              <w:right w:val="single" w:color="C2D6EA" w:sz="2"/>
            </w:tcBorders>
            <w:shd w:fill="EEF5FB" w:val="clear"/>
            <w:tcMar>
              <w:top w:type="dxa" w:w="80"/>
              <w:left w:type="dxa" w:w="120"/>
              <w:bottom w:type="dxa" w:w="80"/>
              <w:right w:type="dxa" w:w="120"/>
            </w:tcMar>
            <w:vAlign w:val="center"/>
          </w:tcPr>
          <w:p>
            <w:r>
              <w:t xml:space="preserve">MQTT</w:t>
            </w:r>
          </w:p>
        </w:tc>
        <w:tc>
          <w:tcPr>
            <w:tcW w:type="dxa" w:w="6826"/>
            <w:tcBorders>
              <w:top w:val="single" w:color="C2D6EA" w:sz="2"/>
              <w:left w:val="single" w:color="C2D6EA" w:sz="2"/>
              <w:bottom w:val="single" w:color="C2D6EA" w:sz="2"/>
              <w:right w:val="single" w:color="C2D6EA" w:sz="2"/>
            </w:tcBorders>
            <w:tcMar>
              <w:top w:type="dxa" w:w="80"/>
              <w:left w:type="dxa" w:w="120"/>
              <w:bottom w:type="dxa" w:w="80"/>
              <w:right w:type="dxa" w:w="120"/>
            </w:tcMar>
            <w:vAlign w:val="center"/>
          </w:tcPr>
          <w:p>
            <w:r>
              <w:t xml:space="preserve">Message Queuing Telemetry Transport (IoT-Protokoll)</w:t>
            </w:r>
          </w:p>
        </w:tc>
      </w:tr>
      <w:tr>
        <w:tc>
          <w:tcPr>
            <w:tcW w:type="dxa" w:w="2200"/>
            <w:tcBorders>
              <w:top w:val="single" w:color="C2D6EA" w:sz="2"/>
              <w:left w:val="single" w:color="C2D6EA" w:sz="2"/>
              <w:bottom w:val="single" w:color="C2D6EA" w:sz="2"/>
              <w:right w:val="single" w:color="C2D6EA" w:sz="2"/>
            </w:tcBorders>
            <w:shd w:fill="EEF5FB" w:val="clear"/>
            <w:tcMar>
              <w:top w:type="dxa" w:w="80"/>
              <w:left w:type="dxa" w:w="120"/>
              <w:bottom w:type="dxa" w:w="80"/>
              <w:right w:type="dxa" w:w="120"/>
            </w:tcMar>
            <w:vAlign w:val="center"/>
          </w:tcPr>
          <w:p>
            <w:r>
              <w:t xml:space="preserve">SQL</w:t>
            </w:r>
          </w:p>
        </w:tc>
        <w:tc>
          <w:tcPr>
            <w:tcW w:type="dxa" w:w="6826"/>
            <w:tcBorders>
              <w:top w:val="single" w:color="C2D6EA" w:sz="2"/>
              <w:left w:val="single" w:color="C2D6EA" w:sz="2"/>
              <w:bottom w:val="single" w:color="C2D6EA" w:sz="2"/>
              <w:right w:val="single" w:color="C2D6EA" w:sz="2"/>
            </w:tcBorders>
            <w:tcMar>
              <w:top w:type="dxa" w:w="80"/>
              <w:left w:type="dxa" w:w="120"/>
              <w:bottom w:type="dxa" w:w="80"/>
              <w:right w:type="dxa" w:w="120"/>
            </w:tcMar>
            <w:vAlign w:val="center"/>
          </w:tcPr>
          <w:p>
            <w:r>
              <w:t xml:space="preserve">Structured Query Language</w:t>
            </w:r>
          </w:p>
        </w:tc>
      </w:tr>
      <w:tr>
        <w:tc>
          <w:tcPr>
            <w:tcW w:type="dxa" w:w="2200"/>
            <w:tcBorders>
              <w:top w:val="single" w:color="C2D6EA" w:sz="2"/>
              <w:left w:val="single" w:color="C2D6EA" w:sz="2"/>
              <w:bottom w:val="single" w:color="C2D6EA" w:sz="2"/>
              <w:right w:val="single" w:color="C2D6EA" w:sz="2"/>
            </w:tcBorders>
            <w:shd w:fill="EEF5FB" w:val="clear"/>
            <w:tcMar>
              <w:top w:type="dxa" w:w="80"/>
              <w:left w:type="dxa" w:w="120"/>
              <w:bottom w:type="dxa" w:w="80"/>
              <w:right w:type="dxa" w:w="120"/>
            </w:tcMar>
            <w:vAlign w:val="center"/>
          </w:tcPr>
          <w:p>
            <w:r>
              <w:t xml:space="preserve">TLS</w:t>
            </w:r>
          </w:p>
        </w:tc>
        <w:tc>
          <w:tcPr>
            <w:tcW w:type="dxa" w:w="6826"/>
            <w:tcBorders>
              <w:top w:val="single" w:color="C2D6EA" w:sz="2"/>
              <w:left w:val="single" w:color="C2D6EA" w:sz="2"/>
              <w:bottom w:val="single" w:color="C2D6EA" w:sz="2"/>
              <w:right w:val="single" w:color="C2D6EA" w:sz="2"/>
            </w:tcBorders>
            <w:tcMar>
              <w:top w:type="dxa" w:w="80"/>
              <w:left w:type="dxa" w:w="120"/>
              <w:bottom w:type="dxa" w:w="80"/>
              <w:right w:type="dxa" w:w="120"/>
            </w:tcMar>
            <w:vAlign w:val="center"/>
          </w:tcPr>
          <w:p>
            <w:r>
              <w:t xml:space="preserve">Transport Layer Security (Transportverschlüsselung)</w:t>
            </w:r>
          </w:p>
        </w:tc>
      </w:tr>
      <w:tr>
        <w:tc>
          <w:tcPr>
            <w:tcW w:type="dxa" w:w="2200"/>
            <w:tcBorders>
              <w:top w:val="single" w:color="C2D6EA" w:sz="2"/>
              <w:left w:val="single" w:color="C2D6EA" w:sz="2"/>
              <w:bottom w:val="single" w:color="C2D6EA" w:sz="2"/>
              <w:right w:val="single" w:color="C2D6EA" w:sz="2"/>
            </w:tcBorders>
            <w:shd w:fill="EEF5FB" w:val="clear"/>
            <w:tcMar>
              <w:top w:type="dxa" w:w="80"/>
              <w:left w:type="dxa" w:w="120"/>
              <w:bottom w:type="dxa" w:w="80"/>
              <w:right w:type="dxa" w:w="120"/>
            </w:tcMar>
            <w:vAlign w:val="center"/>
          </w:tcPr>
          <w:p>
            <w:r>
              <w:t xml:space="preserve">UTF-8</w:t>
            </w:r>
          </w:p>
        </w:tc>
        <w:tc>
          <w:tcPr>
            <w:tcW w:type="dxa" w:w="6826"/>
            <w:tcBorders>
              <w:top w:val="single" w:color="C2D6EA" w:sz="2"/>
              <w:left w:val="single" w:color="C2D6EA" w:sz="2"/>
              <w:bottom w:val="single" w:color="C2D6EA" w:sz="2"/>
              <w:right w:val="single" w:color="C2D6EA" w:sz="2"/>
            </w:tcBorders>
            <w:tcMar>
              <w:top w:type="dxa" w:w="80"/>
              <w:left w:type="dxa" w:w="120"/>
              <w:bottom w:type="dxa" w:w="80"/>
              <w:right w:type="dxa" w:w="120"/>
            </w:tcMar>
            <w:vAlign w:val="center"/>
          </w:tcPr>
          <w:p>
            <w:r>
              <w:t xml:space="preserve">8-Bit Unicode Transformation Format (Zeichenkodierung)</w:t>
            </w:r>
          </w:p>
        </w:tc>
      </w:tr>
    </w:tbl>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B6B7A"/>
        <w:sz w:val="16"/>
        <w:szCs w:val="16"/>
      </w:rPr>
      <w:t xml:space="preserve">Seite </w:t>
    </w:r>
    <w:r>
      <w:rPr>
        <w:color w:val="5B6B7A"/>
        <w:sz w:val="16"/>
        <w:szCs w:val="16"/>
      </w:rPr>
      <w:fldChar w:fldCharType="begin"/>
      <w:instrText xml:space="preserve">PAGE</w:instrText>
      <w:fldChar w:fldCharType="separate"/>
      <w:fldChar w:fldCharType="end"/>
    </w:r>
    <w:r>
      <w:rPr>
        <w:color w:val="5B6B7A"/>
        <w:sz w:val="16"/>
        <w:szCs w:val="16"/>
      </w:rPr>
      <w:t xml:space="preserve"> von </w:t>
    </w:r>
    <w:r>
      <w:rPr>
        <w:color w:val="5B6B7A"/>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5B6B7A"/>
        <w:sz w:val="16"/>
        <w:szCs w:val="16"/>
      </w:rPr>
      <w:t xml:space="preserve">bfw Lübeck · LF8 – Datenquellen &amp; Recht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2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C2733"/>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qFormat/>
    <w:pPr>
      <w:spacing w:after="120" w:before="240"/>
      <w:outlineLvl w:val="1"/>
    </w:pPr>
    <w:rPr>
      <w:rFonts w:ascii="Calibri" w:cs="Calibri" w:eastAsia="Calibri" w:hAnsi="Calibri"/>
      <w:b/>
      <w:bCs/>
      <w:color w:val="003366"/>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2026-06-11T10:31:31.099Z</dcterms:created>
  <dcterms:modified xsi:type="dcterms:W3CDTF">2026-06-11T10:31:31.099Z</dcterms:modified>
</cp:coreProperties>
</file>

<file path=docProps/custom.xml><?xml version="1.0" encoding="utf-8"?>
<Properties xmlns="http://schemas.openxmlformats.org/officeDocument/2006/custom-properties" xmlns:vt="http://schemas.openxmlformats.org/officeDocument/2006/docPropsVTypes"/>
</file>