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003366"/>
          <w:sz w:val="40"/>
          <w:szCs w:val="40"/>
        </w:rPr>
        <w:t xml:space="preserve">Datenformate – CSV, XML und JSON</w:t>
      </w:r>
    </w:p>
    <w:p>
      <w:pPr>
        <w:spacing w:after="40"/>
      </w:pPr>
      <w:r>
        <w:rPr>
          <w:color w:val="0066AA"/>
          <w:sz w:val="24"/>
          <w:szCs w:val="24"/>
        </w:rPr>
        <w:t xml:space="preserve">Begleitmaterial zum Foliensatz</w:t>
      </w:r>
    </w:p>
    <w:p>
      <w:pPr>
        <w:spacing w:after="200"/>
      </w:pPr>
      <w:r>
        <w:rPr>
          <w:color w:val="5B6B7A"/>
          <w:sz w:val="20"/>
          <w:szCs w:val="20"/>
        </w:rPr>
        <w:t xml:space="preserve">Lernfeld 8 – Daten systemübergreifend bereitstellen · bfw Lübeck</w:t>
      </w:r>
    </w:p>
    <w:p>
      <w:pPr>
        <w:pStyle w:val="Heading2"/>
      </w:pPr>
      <w:r>
        <w:t xml:space="preserve">1  Worum es geht</w:t>
      </w:r>
    </w:p>
    <w:p>
      <w:pPr>
        <w:spacing w:after="140" w:line="276"/>
      </w:pPr>
      <w:r>
        <w:t xml:space="preserve">Sobald zwei Programme oder Systeme Daten austauschen, müssen sie sich auf eine gemeinsame Form einigen, in der die Daten gespeichert und übertragen werden. Diese Form nennt man Datenformat. Ein Datenformat legt fest, wie einzelne Werte voneinander getrennt, wie sie benannt und wie sie zueinander in Beziehung gesetzt werden.</w:t>
      </w:r>
    </w:p>
    <w:p>
      <w:pPr>
        <w:spacing w:after="140" w:line="276"/>
      </w:pPr>
      <w:r>
        <w:t xml:space="preserve">In diesem Lernfeld stehen drei Formate im Mittelpunkt, weil sie in der Praxis den größten Teil des Datenaustauschs abdecken: CSV (Comma-Separated Values), XML (eXtensible Markup Language) und JSON (JavaScript Object Notation). Alle drei begegnen Ihnen später beim Bereitstellen von Daten über Schnittstellen wieder.</w:t>
      </w:r>
    </w:p>
    <w:p>
      <w:pPr>
        <w:pStyle w:val="Heading2"/>
      </w:pPr>
      <w:r>
        <w:t xml:space="preserve">2  Strukturierungsgrad von Daten</w:t>
      </w:r>
    </w:p>
    <w:p>
      <w:pPr>
        <w:spacing w:after="140" w:line="276"/>
      </w:pPr>
      <w:r>
        <w:t xml:space="preserve">Daten unterscheiden sich darin, wie streng ihre innere Ordnung festgelegt ist. Man unterscheidet drei Stufen:</w:t>
      </w:r>
    </w:p>
    <w:p>
      <w:pPr>
        <w:pStyle w:val="ListParagraph"/>
        <w:numPr>
          <w:ilvl w:val="0"/>
          <w:numId w:val="2"/>
        </w:numPr>
        <w:spacing w:after="60" w:line="270"/>
      </w:pPr>
      <w:r>
        <w:rPr>
          <w:b/>
          <w:bCs/>
        </w:rPr>
        <w:t xml:space="preserve">Strukturiert: </w:t>
      </w:r>
      <w:r>
        <w:t xml:space="preserve">Die Daten folgen einem festen Schema, jede Spalte hat einen festen Datentyp. Klassisches Beispiel ist die Tabelle einer relationalen Datenbank. Solche Daten sind maschinell unmittelbar auswertbar.</w:t>
      </w:r>
    </w:p>
    <w:p>
      <w:pPr>
        <w:pStyle w:val="ListParagraph"/>
        <w:numPr>
          <w:ilvl w:val="0"/>
          <w:numId w:val="2"/>
        </w:numPr>
        <w:spacing w:after="60" w:line="270"/>
      </w:pPr>
      <w:r>
        <w:rPr>
          <w:b/>
          <w:bCs/>
        </w:rPr>
        <w:t xml:space="preserve">Semistrukturiert: </w:t>
      </w:r>
      <w:r>
        <w:t xml:space="preserve">Die Struktur ergibt sich aus Markierungen im Datenstrom selbst, ist aber flexibel. XML und JSON gehören hierher – sie sind selbstbeschreibend und können Hierarchien abbilden.</w:t>
      </w:r>
    </w:p>
    <w:p>
      <w:pPr>
        <w:pStyle w:val="ListParagraph"/>
        <w:numPr>
          <w:ilvl w:val="0"/>
          <w:numId w:val="2"/>
        </w:numPr>
        <w:spacing w:after="60" w:line="270"/>
      </w:pPr>
      <w:r>
        <w:rPr>
          <w:b/>
          <w:bCs/>
        </w:rPr>
        <w:t xml:space="preserve">Unstrukturiert: </w:t>
      </w:r>
      <w:r>
        <w:t xml:space="preserve">Es gibt keine feste innere Ordnung, etwa bei Freitext, E-Mails, Logdateien, Bildern oder PDF-Dokumenten. Solche Daten müssen vor der Auswertung erst aufbereitet werden.</w:t>
      </w:r>
    </w:p>
    <w:p>
      <w:pPr>
        <w:spacing w:after="140" w:line="276"/>
      </w:pPr>
      <w:r>
        <w:rPr>
          <w:i/>
          <w:iCs/>
          <w:color w:val="0066AA"/>
        </w:rPr>
        <w:t xml:space="preserve">Für Lernfeld 8 ist vor allem der semistrukturierte Bereich relevant – also XML und JSON.</w:t>
      </w:r>
    </w:p>
    <w:p>
      <w:pPr>
        <w:pStyle w:val="Heading2"/>
      </w:pPr>
      <w:r>
        <w:t xml:space="preserve">3  Zeichensätze und Encoding</w:t>
      </w:r>
    </w:p>
    <w:p>
      <w:pPr>
        <w:spacing w:after="140" w:line="276"/>
      </w:pPr>
      <w:r>
        <w:t xml:space="preserve">Bevor es um die einzelnen Formate geht, ein häufig unterschätztes Thema: das Encoding. Ein Encoding ist die Regel, nach der Zeichen in Bytes übersetzt werden. Der alte ASCII-Zeichensatz kennt nur 128 Zeichen und damit weder Umlaute noch das ß. Heutiger Standard ist UTF-8 (8-Bit Unicode Transformation Format), das alle Zeichen abdeckt.</w:t>
      </w:r>
    </w:p>
    <w:p>
      <w:pPr>
        <w:spacing w:after="140" w:line="276"/>
      </w:pPr>
      <w:r>
        <w:t xml:space="preserve">Wird beim Lesen ein falsches Encoding angenommen, entstehen zerstörte Umlaute – im Fachjargon „Mojibake“. Ein BOM (Byte Order Mark) am Dateianfang kann manche Parser zusätzlich stören. Die Faustregel lautet daher: durchgängig UTF-8 verwenden.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C2D6EA" w:sz="4"/>
              <w:left w:val="single" w:color="C2D6EA" w:sz="4"/>
              <w:bottom w:val="single" w:color="C2D6EA" w:sz="4"/>
              <w:right w:val="single" w:color="C2D6EA" w:sz="4"/>
            </w:tcBorders>
            <w:shd w:fill="EEF5FB" w:val="clear"/>
            <w:tcMar>
              <w:top w:type="dxa" w:w="120"/>
              <w:left w:type="dxa" w:w="160"/>
              <w:bottom w:type="dxa" w:w="120"/>
              <w:right w:type="dxa" w:w="160"/>
            </w:tcMar>
          </w:tcPr>
          <w:p>
            <w:pPr>
              <w:spacing w:after="0" w:line="250"/>
            </w:pPr>
            <w:r>
              <w:rPr>
                <w:rFonts w:ascii="Consolas" w:cs="Consolas" w:eastAsia="Consolas" w:hAnsi="Consolas"/>
                <w:color w:val="003366"/>
                <w:sz w:val="19"/>
                <w:szCs w:val="19"/>
              </w:rPr>
              <w:t xml:space="preserve">UTF-8 korrekt :  Lübeck      Kühlcontainer</w:t>
            </w:r>
          </w:p>
          <w:p>
            <w:pPr>
              <w:spacing w:after="0" w:line="250"/>
            </w:pPr>
            <w:r>
              <w:rPr>
                <w:rFonts w:ascii="Consolas" w:cs="Consolas" w:eastAsia="Consolas" w:hAnsi="Consolas"/>
                <w:color w:val="003366"/>
                <w:sz w:val="19"/>
                <w:szCs w:val="19"/>
              </w:rPr>
              <w:t xml:space="preserve">falsch gelesen:  LÃ¼beck      KÃ¼hlcontainer</w:t>
            </w:r>
          </w:p>
        </w:tc>
      </w:tr>
    </w:tbl>
    <w:p>
      <w:pPr>
        <w:spacing w:after="80"/>
      </w:pPr>
      <w:r>
        <w:t xml:space="preserve"/>
      </w:r>
    </w:p>
    <w:p>
      <w:pPr>
        <w:pStyle w:val="Heading2"/>
      </w:pPr>
      <w:r>
        <w:t xml:space="preserve">4  CSV – Comma-Separated Values</w:t>
      </w:r>
    </w:p>
    <w:p>
      <w:pPr>
        <w:spacing w:after="140" w:line="276"/>
      </w:pPr>
      <w:r>
        <w:t xml:space="preserve">CSV ist das einfachste der drei Formate. Jede Zeile entspricht einem Datensatz, die erste Zeile enthält oft die Spaltennamen (Header). Die einzelnen Felder werden durch ein Trennzeichen getrennt. Im deutschsprachigen Raum ist das meist ein Semikolon, weil das Komma als Dezimaltrennzeichen benötigt wird.</w:t>
      </w:r>
    </w:p>
    <w:p>
      <w:pPr>
        <w:spacing w:after="140" w:line="276"/>
      </w:pPr>
      <w:r>
        <w:t xml:space="preserve">CSV ist flach: Es kann keine echte Hierarchie abbilden. Seine Stärken sind die Einfachheit, die geringe Dateigröße und die Tatsache, dass Tabellenkalkulationen und Datenbanken CSV direkt lesen und schreiben können.</w:t>
      </w:r>
    </w:p>
    <w:p>
      <w:pPr>
        <w:spacing w:after="140" w:line="276"/>
      </w:pPr>
      <w:r>
        <w:rPr>
          <w:b/>
          <w:bCs/>
        </w:rPr>
        <w:t xml:space="preserve">Stolperfallen: </w:t>
      </w:r>
      <w:r>
        <w:t xml:space="preserve">Enthält ein Wert selbst das Trennzeichen, muss das Feld in Anführungszeichen gesetzt werden (Quoting). Auch Zeilenumbrüche innerhalb eines Wertes und uneinheitliches Encoding führen häufig zu Fehlern.</w:t>
      </w:r>
    </w:p>
    <w:p>
      <w:pPr>
        <w:spacing w:after="140" w:line="276"/>
      </w:pPr>
      <w:r>
        <w:rPr>
          <w:b/>
          <w:bCs/>
        </w:rPr>
        <w:t xml:space="preserve">Beispiel – dieselben Auftragsdaten der Nordfracht Logistik GmbH als CSV:</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C2D6EA" w:sz="4"/>
              <w:left w:val="single" w:color="C2D6EA" w:sz="4"/>
              <w:bottom w:val="single" w:color="C2D6EA" w:sz="4"/>
              <w:right w:val="single" w:color="C2D6EA" w:sz="4"/>
            </w:tcBorders>
            <w:shd w:fill="EEF5FB" w:val="clear"/>
            <w:tcMar>
              <w:top w:type="dxa" w:w="120"/>
              <w:left w:type="dxa" w:w="160"/>
              <w:bottom w:type="dxa" w:w="120"/>
              <w:right w:type="dxa" w:w="160"/>
            </w:tcMar>
          </w:tcPr>
          <w:p>
            <w:pPr>
              <w:spacing w:after="0" w:line="250"/>
            </w:pPr>
            <w:r>
              <w:rPr>
                <w:rFonts w:ascii="Consolas" w:cs="Consolas" w:eastAsia="Consolas" w:hAnsi="Consolas"/>
                <w:color w:val="003366"/>
                <w:sz w:val="19"/>
                <w:szCs w:val="19"/>
              </w:rPr>
              <w:t xml:space="preserve">auftragsNr;kunde;datum;artikelNr;bezeichnung;menge;gewichtKg</w:t>
            </w:r>
          </w:p>
          <w:p>
            <w:pPr>
              <w:spacing w:after="0" w:line="250"/>
            </w:pPr>
            <w:r>
              <w:rPr>
                <w:rFonts w:ascii="Consolas" w:cs="Consolas" w:eastAsia="Consolas" w:hAnsi="Consolas"/>
                <w:color w:val="003366"/>
                <w:sz w:val="19"/>
                <w:szCs w:val="19"/>
              </w:rPr>
              <w:t xml:space="preserve">1001;Ostsee Handel GmbH;2026-03-12;A-100;Palette Standard;5;320.0</w:t>
            </w:r>
          </w:p>
          <w:p>
            <w:pPr>
              <w:spacing w:after="0" w:line="250"/>
            </w:pPr>
            <w:r>
              <w:rPr>
                <w:rFonts w:ascii="Consolas" w:cs="Consolas" w:eastAsia="Consolas" w:hAnsi="Consolas"/>
                <w:color w:val="003366"/>
                <w:sz w:val="19"/>
                <w:szCs w:val="19"/>
              </w:rPr>
              <w:t xml:space="preserve">1001;Ostsee Handel GmbH;2026-03-12;B-205;Kühlcontainer;1;850.5</w:t>
            </w:r>
          </w:p>
          <w:p>
            <w:pPr>
              <w:spacing w:after="0" w:line="250"/>
            </w:pPr>
            <w:r>
              <w:rPr>
                <w:rFonts w:ascii="Consolas" w:cs="Consolas" w:eastAsia="Consolas" w:hAnsi="Consolas"/>
                <w:color w:val="003366"/>
                <w:sz w:val="19"/>
                <w:szCs w:val="19"/>
              </w:rPr>
              <w:t xml:space="preserve">1002;Nordlicht AG;2026-03-13;A-100;Palette Standard;8;512.0</w:t>
            </w:r>
          </w:p>
        </w:tc>
      </w:tr>
    </w:tbl>
    <w:p>
      <w:pPr>
        <w:spacing w:after="140" w:line="276"/>
      </w:pPr>
      <w:r>
        <w:rPr>
          <w:i/>
          <w:iCs/>
          <w:color w:val="0066AA"/>
        </w:rPr>
        <w:t xml:space="preserve">Auftrag 1001 hat zwei Positionen und belegt daher zwei Zeilen – die Auftragsdaten (Nummer, Kunde, Datum) werden wiederholt. Diese Redundanz ist die direkte Folge davon, dass CSV die 1:n-Beziehung Auftrag→Position nicht abbilden kann.</w:t>
      </w:r>
    </w:p>
    <w:p>
      <w:pPr>
        <w:pStyle w:val="Heading2"/>
      </w:pPr>
      <w:r>
        <w:t xml:space="preserve">5  XML – eXtensible Markup Language</w:t>
      </w:r>
    </w:p>
    <w:p>
      <w:pPr>
        <w:spacing w:after="140" w:line="276"/>
      </w:pPr>
      <w:r>
        <w:t xml:space="preserve">XML speichert Daten in Elementen der Form &lt;tag&gt;Inhalt&lt;/tag&gt;. Jedes geöffnete Element muss wieder geschlossen werden. Zusätzliche Angaben können als Attribute im öffnenden Tag stehen, etwa artikelNr="A-100". Da Elemente beliebig ineinander verschachtelt werden können, bildet XML Hierarchien – und damit die 1:n-Beziehung – sauber ab.</w:t>
      </w:r>
    </w:p>
    <w:p>
      <w:pPr>
        <w:spacing w:after="140" w:line="276"/>
      </w:pPr>
      <w:r>
        <w:t xml:space="preserve">Eine XML-Datei beginnt mit dem Prolog &lt;?xml version="1.0" encoding="UTF-8"?&gt;. Man unterscheidet zwei Qualitätsstufen: wohlgeformt heißt, dass alle Syntaxregeln eingehalten sind; gültig heißt zusätzlich, dass die Datei einem Schema entspricht. Über ein XSD (XML Schema Definition) lässt sich automatisch prüfen, ob eine Datei alle vorgeschriebenen Elemente und Datentypen enthält – ein großer Vorteil bei der Anbindung von Altsystemen.</w:t>
      </w:r>
    </w:p>
    <w:p>
      <w:pPr>
        <w:spacing w:after="140" w:line="276"/>
      </w:pPr>
      <w:r>
        <w:rPr>
          <w:b/>
          <w:bCs/>
        </w:rPr>
        <w:t xml:space="preserve">Beispiel – Auftrag 1001 als XML: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C2D6EA" w:sz="4"/>
              <w:left w:val="single" w:color="C2D6EA" w:sz="4"/>
              <w:bottom w:val="single" w:color="C2D6EA" w:sz="4"/>
              <w:right w:val="single" w:color="C2D6EA" w:sz="4"/>
            </w:tcBorders>
            <w:shd w:fill="EEF5FB" w:val="clear"/>
            <w:tcMar>
              <w:top w:type="dxa" w:w="120"/>
              <w:left w:type="dxa" w:w="160"/>
              <w:bottom w:type="dxa" w:w="120"/>
              <w:right w:type="dxa" w:w="160"/>
            </w:tcMar>
          </w:tcPr>
          <w:p>
            <w:pPr>
              <w:spacing w:after="0" w:line="250"/>
            </w:pPr>
            <w:r>
              <w:rPr>
                <w:rFonts w:ascii="Consolas" w:cs="Consolas" w:eastAsia="Consolas" w:hAnsi="Consolas"/>
                <w:color w:val="003366"/>
                <w:sz w:val="19"/>
                <w:szCs w:val="19"/>
              </w:rPr>
              <w:t xml:space="preserve">&lt;?xml version="1.0" encoding="UTF-8"?&gt;</w:t>
            </w:r>
          </w:p>
          <w:p>
            <w:pPr>
              <w:spacing w:after="0" w:line="250"/>
            </w:pPr>
            <w:r>
              <w:rPr>
                <w:rFonts w:ascii="Consolas" w:cs="Consolas" w:eastAsia="Consolas" w:hAnsi="Consolas"/>
                <w:color w:val="003366"/>
                <w:sz w:val="19"/>
                <w:szCs w:val="19"/>
              </w:rPr>
              <w:t xml:space="preserve">&lt;auftrag nr="1001" datum="2026-03-12"&gt;</w:t>
            </w:r>
          </w:p>
          <w:p>
            <w:pPr>
              <w:spacing w:after="0" w:line="250"/>
            </w:pPr>
            <w:r>
              <w:rPr>
                <w:rFonts w:ascii="Consolas" w:cs="Consolas" w:eastAsia="Consolas" w:hAnsi="Consolas"/>
                <w:color w:val="003366"/>
                <w:sz w:val="19"/>
                <w:szCs w:val="19"/>
              </w:rPr>
              <w:t xml:space="preserve">  &lt;kunde&gt;Ostsee Handel GmbH&lt;/kunde&gt;</w:t>
            </w:r>
          </w:p>
          <w:p>
            <w:pPr>
              <w:spacing w:after="0" w:line="250"/>
            </w:pPr>
            <w:r>
              <w:rPr>
                <w:rFonts w:ascii="Consolas" w:cs="Consolas" w:eastAsia="Consolas" w:hAnsi="Consolas"/>
                <w:color w:val="003366"/>
                <w:sz w:val="19"/>
                <w:szCs w:val="19"/>
              </w:rPr>
              <w:t xml:space="preserve">  &lt;positionen&gt;</w:t>
            </w:r>
          </w:p>
          <w:p>
            <w:pPr>
              <w:spacing w:after="0" w:line="250"/>
            </w:pPr>
            <w:r>
              <w:rPr>
                <w:rFonts w:ascii="Consolas" w:cs="Consolas" w:eastAsia="Consolas" w:hAnsi="Consolas"/>
                <w:color w:val="003366"/>
                <w:sz w:val="19"/>
                <w:szCs w:val="19"/>
              </w:rPr>
              <w:t xml:space="preserve">    &lt;position artikelNr="A-100" menge="5"&gt;</w:t>
            </w:r>
          </w:p>
          <w:p>
            <w:pPr>
              <w:spacing w:after="0" w:line="250"/>
            </w:pPr>
            <w:r>
              <w:rPr>
                <w:rFonts w:ascii="Consolas" w:cs="Consolas" w:eastAsia="Consolas" w:hAnsi="Consolas"/>
                <w:color w:val="003366"/>
                <w:sz w:val="19"/>
                <w:szCs w:val="19"/>
              </w:rPr>
              <w:t xml:space="preserve">      &lt;bezeichnung&gt;Palette Standard&lt;/bezeichnung&gt;</w:t>
            </w:r>
          </w:p>
          <w:p>
            <w:pPr>
              <w:spacing w:after="0" w:line="250"/>
            </w:pPr>
            <w:r>
              <w:rPr>
                <w:rFonts w:ascii="Consolas" w:cs="Consolas" w:eastAsia="Consolas" w:hAnsi="Consolas"/>
                <w:color w:val="003366"/>
                <w:sz w:val="19"/>
                <w:szCs w:val="19"/>
              </w:rPr>
              <w:t xml:space="preserve">      &lt;gewichtKg&gt;320.0&lt;/gewichtKg&gt;</w:t>
            </w:r>
          </w:p>
          <w:p>
            <w:pPr>
              <w:spacing w:after="0" w:line="250"/>
            </w:pPr>
            <w:r>
              <w:rPr>
                <w:rFonts w:ascii="Consolas" w:cs="Consolas" w:eastAsia="Consolas" w:hAnsi="Consolas"/>
                <w:color w:val="003366"/>
                <w:sz w:val="19"/>
                <w:szCs w:val="19"/>
              </w:rPr>
              <w:t xml:space="preserve">    &lt;/position&gt;</w:t>
            </w:r>
          </w:p>
          <w:p>
            <w:pPr>
              <w:spacing w:after="0" w:line="250"/>
            </w:pPr>
            <w:r>
              <w:rPr>
                <w:rFonts w:ascii="Consolas" w:cs="Consolas" w:eastAsia="Consolas" w:hAnsi="Consolas"/>
                <w:color w:val="003366"/>
                <w:sz w:val="19"/>
                <w:szCs w:val="19"/>
              </w:rPr>
              <w:t xml:space="preserve">  &lt;/positionen&gt;</w:t>
            </w:r>
          </w:p>
          <w:p>
            <w:pPr>
              <w:spacing w:after="0" w:line="250"/>
            </w:pPr>
            <w:r>
              <w:rPr>
                <w:rFonts w:ascii="Consolas" w:cs="Consolas" w:eastAsia="Consolas" w:hAnsi="Consolas"/>
                <w:color w:val="003366"/>
                <w:sz w:val="19"/>
                <w:szCs w:val="19"/>
              </w:rPr>
              <w:t xml:space="preserve">&lt;/auftrag&gt;</w:t>
            </w:r>
          </w:p>
        </w:tc>
      </w:tr>
    </w:tbl>
    <w:p>
      <w:pPr>
        <w:spacing w:after="140" w:line="276"/>
      </w:pPr>
      <w:r>
        <w:rPr>
          <w:i/>
          <w:iCs/>
          <w:color w:val="0066AA"/>
        </w:rPr>
        <w:t xml:space="preserve">Die Positionen liegen verschachtelt innerhalb des Auftrags – die Auftragsdaten stehen nur einmal da.</w:t>
      </w:r>
    </w:p>
    <w:p>
      <w:pPr>
        <w:pStyle w:val="Heading2"/>
      </w:pPr>
      <w:r>
        <w:t xml:space="preserve">6  JSON – JavaScript Object Notation</w:t>
      </w:r>
    </w:p>
    <w:p>
      <w:pPr>
        <w:spacing w:after="140" w:line="276"/>
      </w:pPr>
      <w:r>
        <w:t xml:space="preserve">JSON beschreibt Daten als Objekte in geschweiften Klammern, die Schlüssel-Wert-Paare enthalten, sowie als Arrays (Listen) in eckigen Klammern. Als Datentypen sind string, number, boolean, null, Objekte und Arrays erlaubt. Schlüssel stehen immer in doppelten Anführungszeichen.</w:t>
      </w:r>
    </w:p>
    <w:p>
      <w:pPr>
        <w:spacing w:after="140" w:line="276"/>
      </w:pPr>
      <w:r>
        <w:t xml:space="preserve">Die Syntax ist streng: Nach dem letzten Element darf kein Komma stehen, und Kommentare sind nicht erlaubt. JSON ist kompakt und aus der Webtechnik (JavaScript) direkt nutzbar – deshalb ist es das Standardformat für REST-APIs (Representational State Transfer · Application Programming Interface).</w:t>
      </w:r>
    </w:p>
    <w:p>
      <w:pPr>
        <w:spacing w:after="140" w:line="276"/>
      </w:pPr>
      <w:r>
        <w:rPr>
          <w:b/>
          <w:bCs/>
        </w:rPr>
        <w:t xml:space="preserve">Beispiel – Auftrag 1001 als JSON: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C2D6EA" w:sz="4"/>
              <w:left w:val="single" w:color="C2D6EA" w:sz="4"/>
              <w:bottom w:val="single" w:color="C2D6EA" w:sz="4"/>
              <w:right w:val="single" w:color="C2D6EA" w:sz="4"/>
            </w:tcBorders>
            <w:shd w:fill="EEF5FB" w:val="clear"/>
            <w:tcMar>
              <w:top w:type="dxa" w:w="120"/>
              <w:left w:type="dxa" w:w="160"/>
              <w:bottom w:type="dxa" w:w="120"/>
              <w:right w:type="dxa" w:w="160"/>
            </w:tcMar>
          </w:tcPr>
          <w:p>
            <w:pPr>
              <w:spacing w:after="0" w:line="250"/>
            </w:pPr>
            <w:r>
              <w:rPr>
                <w:rFonts w:ascii="Consolas" w:cs="Consolas" w:eastAsia="Consolas" w:hAnsi="Consolas"/>
                <w:color w:val="003366"/>
                <w:sz w:val="19"/>
                <w:szCs w:val="19"/>
              </w:rPr>
              <w:t xml:space="preserve">[</w:t>
            </w:r>
          </w:p>
          <w:p>
            <w:pPr>
              <w:spacing w:after="0" w:line="250"/>
            </w:pPr>
            <w:r>
              <w:rPr>
                <w:rFonts w:ascii="Consolas" w:cs="Consolas" w:eastAsia="Consolas" w:hAnsi="Consolas"/>
                <w:color w:val="003366"/>
                <w:sz w:val="19"/>
                <w:szCs w:val="19"/>
              </w:rPr>
              <w:t xml:space="preserve">  {</w:t>
            </w:r>
          </w:p>
          <w:p>
            <w:pPr>
              <w:spacing w:after="0" w:line="250"/>
            </w:pPr>
            <w:r>
              <w:rPr>
                <w:rFonts w:ascii="Consolas" w:cs="Consolas" w:eastAsia="Consolas" w:hAnsi="Consolas"/>
                <w:color w:val="003366"/>
                <w:sz w:val="19"/>
                <w:szCs w:val="19"/>
              </w:rPr>
              <w:t xml:space="preserve">    "auftragsNr": 1001,</w:t>
            </w:r>
          </w:p>
          <w:p>
            <w:pPr>
              <w:spacing w:after="0" w:line="250"/>
            </w:pPr>
            <w:r>
              <w:rPr>
                <w:rFonts w:ascii="Consolas" w:cs="Consolas" w:eastAsia="Consolas" w:hAnsi="Consolas"/>
                <w:color w:val="003366"/>
                <w:sz w:val="19"/>
                <w:szCs w:val="19"/>
              </w:rPr>
              <w:t xml:space="preserve">    "kunde": "Ostsee Handel GmbH",</w:t>
            </w:r>
          </w:p>
          <w:p>
            <w:pPr>
              <w:spacing w:after="0" w:line="250"/>
            </w:pPr>
            <w:r>
              <w:rPr>
                <w:rFonts w:ascii="Consolas" w:cs="Consolas" w:eastAsia="Consolas" w:hAnsi="Consolas"/>
                <w:color w:val="003366"/>
                <w:sz w:val="19"/>
                <w:szCs w:val="19"/>
              </w:rPr>
              <w:t xml:space="preserve">    "datum": "2026-03-12",</w:t>
            </w:r>
          </w:p>
          <w:p>
            <w:pPr>
              <w:spacing w:after="0" w:line="250"/>
            </w:pPr>
            <w:r>
              <w:rPr>
                <w:rFonts w:ascii="Consolas" w:cs="Consolas" w:eastAsia="Consolas" w:hAnsi="Consolas"/>
                <w:color w:val="003366"/>
                <w:sz w:val="19"/>
                <w:szCs w:val="19"/>
              </w:rPr>
              <w:t xml:space="preserve">    "positionen": [</w:t>
            </w:r>
          </w:p>
          <w:p>
            <w:pPr>
              <w:spacing w:after="0" w:line="250"/>
            </w:pPr>
            <w:r>
              <w:rPr>
                <w:rFonts w:ascii="Consolas" w:cs="Consolas" w:eastAsia="Consolas" w:hAnsi="Consolas"/>
                <w:color w:val="003366"/>
                <w:sz w:val="19"/>
                <w:szCs w:val="19"/>
              </w:rPr>
              <w:t xml:space="preserve">      { "artikelNr": "A-100", "bezeichnung": "Palette Standard", "menge": 5 },</w:t>
            </w:r>
          </w:p>
          <w:p>
            <w:pPr>
              <w:spacing w:after="0" w:line="250"/>
            </w:pPr>
            <w:r>
              <w:rPr>
                <w:rFonts w:ascii="Consolas" w:cs="Consolas" w:eastAsia="Consolas" w:hAnsi="Consolas"/>
                <w:color w:val="003366"/>
                <w:sz w:val="19"/>
                <w:szCs w:val="19"/>
              </w:rPr>
              <w:t xml:space="preserve">      { "artikelNr": "B-205", "bezeichnung": "Kühlcontainer", "menge": 1 }</w:t>
            </w:r>
          </w:p>
          <w:p>
            <w:pPr>
              <w:spacing w:after="0" w:line="250"/>
            </w:pPr>
            <w:r>
              <w:rPr>
                <w:rFonts w:ascii="Consolas" w:cs="Consolas" w:eastAsia="Consolas" w:hAnsi="Consolas"/>
                <w:color w:val="003366"/>
                <w:sz w:val="19"/>
                <w:szCs w:val="19"/>
              </w:rPr>
              <w:t xml:space="preserve">    ]</w:t>
            </w:r>
          </w:p>
          <w:p>
            <w:pPr>
              <w:spacing w:after="0" w:line="250"/>
            </w:pPr>
            <w:r>
              <w:rPr>
                <w:rFonts w:ascii="Consolas" w:cs="Consolas" w:eastAsia="Consolas" w:hAnsi="Consolas"/>
                <w:color w:val="003366"/>
                <w:sz w:val="19"/>
                <w:szCs w:val="19"/>
              </w:rPr>
              <w:t xml:space="preserve">  }</w:t>
            </w:r>
          </w:p>
          <w:p>
            <w:pPr>
              <w:spacing w:after="0" w:line="250"/>
            </w:pPr>
            <w:r>
              <w:rPr>
                <w:rFonts w:ascii="Consolas" w:cs="Consolas" w:eastAsia="Consolas" w:hAnsi="Consolas"/>
                <w:color w:val="003366"/>
                <w:sz w:val="19"/>
                <w:szCs w:val="19"/>
              </w:rPr>
              <w:t xml:space="preserve">]</w:t>
            </w:r>
          </w:p>
        </w:tc>
      </w:tr>
    </w:tbl>
    <w:p>
      <w:pPr>
        <w:spacing w:after="140" w:line="276"/>
      </w:pPr>
      <w:r>
        <w:rPr>
          <w:i/>
          <w:iCs/>
          <w:color w:val="0066AA"/>
        </w:rPr>
        <w:t xml:space="preserve">Dieselbe Hierarchie wie bei XML, aber kompakter – ideal als Antwort einer REST-Schnittstelle.</w:t>
      </w:r>
    </w:p>
    <w:p>
      <w:pPr>
        <w:pStyle w:val="Heading2"/>
      </w:pPr>
      <w:r>
        <w:t xml:space="preserve">7  Vergleich auf einen Blick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26"/>
        <w:gridCol w:w="2200"/>
        <w:gridCol w:w="2200"/>
        <w:gridCol w:w="2200"/>
      </w:tblGrid>
      <w:tr>
        <w:trPr>
          <w:tblHeader/>
        </w:trPr>
        <w:tc>
          <w:tcPr>
            <w:tcW w:type="dxa" w:w="2426"/>
            <w:tcBorders>
              <w:top w:val="single" w:color="C2D6EA" w:sz="2"/>
              <w:left w:val="single" w:color="C2D6EA" w:sz="2"/>
              <w:bottom w:val="single" w:color="C2D6EA" w:sz="2"/>
              <w:right w:val="single" w:color="C2D6EA" w:sz="2"/>
            </w:tcBorders>
            <w:shd w:fill="003366" w:val="clear"/>
            <w:tcMar>
              <w:top w:type="dxa" w:w="80"/>
              <w:left w:type="dxa" w:w="120"/>
              <w:bottom w:type="dxa" w:w="80"/>
              <w:right w:type="dxa" w:w="120"/>
            </w:tcMar>
            <w:vAlign w:val="center"/>
          </w:tcPr>
          <w:p>
            <w:r>
              <w:rPr>
                <w:b/>
                <w:bCs/>
                <w:color w:val="FFFFFF"/>
              </w:rPr>
              <w:t xml:space="preserve">Kriterium</w:t>
            </w:r>
          </w:p>
        </w:tc>
        <w:tc>
          <w:tcPr>
            <w:tcW w:type="dxa" w:w="2200"/>
            <w:tcBorders>
              <w:top w:val="single" w:color="C2D6EA" w:sz="2"/>
              <w:left w:val="single" w:color="C2D6EA" w:sz="2"/>
              <w:bottom w:val="single" w:color="C2D6EA" w:sz="2"/>
              <w:right w:val="single" w:color="C2D6EA" w:sz="2"/>
            </w:tcBorders>
            <w:shd w:fill="003366" w:val="clear"/>
            <w:tcMar>
              <w:top w:type="dxa" w:w="80"/>
              <w:left w:type="dxa" w:w="120"/>
              <w:bottom w:type="dxa" w:w="80"/>
              <w:right w:type="dxa" w:w="120"/>
            </w:tcMar>
            <w:vAlign w:val="center"/>
          </w:tcPr>
          <w:p>
            <w:r>
              <w:rPr>
                <w:b/>
                <w:bCs/>
                <w:color w:val="FFFFFF"/>
              </w:rPr>
              <w:t xml:space="preserve">CSV</w:t>
            </w:r>
          </w:p>
        </w:tc>
        <w:tc>
          <w:tcPr>
            <w:tcW w:type="dxa" w:w="2200"/>
            <w:tcBorders>
              <w:top w:val="single" w:color="C2D6EA" w:sz="2"/>
              <w:left w:val="single" w:color="C2D6EA" w:sz="2"/>
              <w:bottom w:val="single" w:color="C2D6EA" w:sz="2"/>
              <w:right w:val="single" w:color="C2D6EA" w:sz="2"/>
            </w:tcBorders>
            <w:shd w:fill="003366" w:val="clear"/>
            <w:tcMar>
              <w:top w:type="dxa" w:w="80"/>
              <w:left w:type="dxa" w:w="120"/>
              <w:bottom w:type="dxa" w:w="80"/>
              <w:right w:type="dxa" w:w="120"/>
            </w:tcMar>
            <w:vAlign w:val="center"/>
          </w:tcPr>
          <w:p>
            <w:r>
              <w:rPr>
                <w:b/>
                <w:bCs/>
                <w:color w:val="FFFFFF"/>
              </w:rPr>
              <w:t xml:space="preserve">XML</w:t>
            </w:r>
          </w:p>
        </w:tc>
        <w:tc>
          <w:tcPr>
            <w:tcW w:type="dxa" w:w="2200"/>
            <w:tcBorders>
              <w:top w:val="single" w:color="C2D6EA" w:sz="2"/>
              <w:left w:val="single" w:color="C2D6EA" w:sz="2"/>
              <w:bottom w:val="single" w:color="C2D6EA" w:sz="2"/>
              <w:right w:val="single" w:color="C2D6EA" w:sz="2"/>
            </w:tcBorders>
            <w:shd w:fill="003366" w:val="clear"/>
            <w:tcMar>
              <w:top w:type="dxa" w:w="80"/>
              <w:left w:type="dxa" w:w="120"/>
              <w:bottom w:type="dxa" w:w="80"/>
              <w:right w:type="dxa" w:w="120"/>
            </w:tcMar>
            <w:vAlign w:val="center"/>
          </w:tcPr>
          <w:p>
            <w:r>
              <w:rPr>
                <w:b/>
                <w:bCs/>
                <w:color w:val="FFFFFF"/>
              </w:rPr>
              <w:t xml:space="preserve">JSON</w:t>
            </w:r>
          </w:p>
        </w:tc>
      </w:tr>
      <w:tr>
        <w:tc>
          <w:tcPr>
            <w:tcW w:type="dxa" w:w="2426"/>
            <w:tcBorders>
              <w:top w:val="single" w:color="C2D6EA" w:sz="2"/>
              <w:left w:val="single" w:color="C2D6EA" w:sz="2"/>
              <w:bottom w:val="single" w:color="C2D6EA" w:sz="2"/>
              <w:right w:val="single" w:color="C2D6EA" w:sz="2"/>
            </w:tcBorders>
            <w:shd w:fill="D6E4F0" w:val="clear"/>
            <w:tcMar>
              <w:top w:type="dxa" w:w="80"/>
              <w:left w:type="dxa" w:w="120"/>
              <w:bottom w:type="dxa" w:w="80"/>
              <w:right w:type="dxa" w:w="120"/>
            </w:tcMar>
            <w:vAlign w:val="center"/>
          </w:tcPr>
          <w:p>
            <w:r>
              <w:t xml:space="preserve">Hierarchie</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nein</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ja</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ja</w:t>
            </w:r>
          </w:p>
        </w:tc>
      </w:tr>
      <w:tr>
        <w:tc>
          <w:tcPr>
            <w:tcW w:type="dxa" w:w="2426"/>
            <w:tcBorders>
              <w:top w:val="single" w:color="C2D6EA" w:sz="2"/>
              <w:left w:val="single" w:color="C2D6EA" w:sz="2"/>
              <w:bottom w:val="single" w:color="C2D6EA" w:sz="2"/>
              <w:right w:val="single" w:color="C2D6EA" w:sz="2"/>
            </w:tcBorders>
            <w:shd w:fill="D6E4F0" w:val="clear"/>
            <w:tcMar>
              <w:top w:type="dxa" w:w="80"/>
              <w:left w:type="dxa" w:w="120"/>
              <w:bottom w:type="dxa" w:w="80"/>
              <w:right w:type="dxa" w:w="120"/>
            </w:tcMar>
            <w:vAlign w:val="center"/>
          </w:tcPr>
          <w:p>
            <w:r>
              <w:t xml:space="preserve">Schema-Validierung</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nein</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ja (XSD)</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optional</w:t>
            </w:r>
          </w:p>
        </w:tc>
      </w:tr>
      <w:tr>
        <w:tc>
          <w:tcPr>
            <w:tcW w:type="dxa" w:w="2426"/>
            <w:tcBorders>
              <w:top w:val="single" w:color="C2D6EA" w:sz="2"/>
              <w:left w:val="single" w:color="C2D6EA" w:sz="2"/>
              <w:bottom w:val="single" w:color="C2D6EA" w:sz="2"/>
              <w:right w:val="single" w:color="C2D6EA" w:sz="2"/>
            </w:tcBorders>
            <w:shd w:fill="D6E4F0" w:val="clear"/>
            <w:tcMar>
              <w:top w:type="dxa" w:w="80"/>
              <w:left w:type="dxa" w:w="120"/>
              <w:bottom w:type="dxa" w:w="80"/>
              <w:right w:type="dxa" w:w="120"/>
            </w:tcMar>
            <w:vAlign w:val="center"/>
          </w:tcPr>
          <w:p>
            <w:r>
              <w:t xml:space="preserve">Lesbarkeit Mensch</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hoch</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mittel</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hoch</w:t>
            </w:r>
          </w:p>
        </w:tc>
      </w:tr>
      <w:tr>
        <w:tc>
          <w:tcPr>
            <w:tcW w:type="dxa" w:w="2426"/>
            <w:tcBorders>
              <w:top w:val="single" w:color="C2D6EA" w:sz="2"/>
              <w:left w:val="single" w:color="C2D6EA" w:sz="2"/>
              <w:bottom w:val="single" w:color="C2D6EA" w:sz="2"/>
              <w:right w:val="single" w:color="C2D6EA" w:sz="2"/>
            </w:tcBorders>
            <w:shd w:fill="D6E4F0" w:val="clear"/>
            <w:tcMar>
              <w:top w:type="dxa" w:w="80"/>
              <w:left w:type="dxa" w:w="120"/>
              <w:bottom w:type="dxa" w:w="80"/>
              <w:right w:type="dxa" w:w="120"/>
            </w:tcMar>
            <w:vAlign w:val="center"/>
          </w:tcPr>
          <w:p>
            <w:r>
              <w:t xml:space="preserve">Größe / Overhead</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klein</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groß</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klein</w:t>
            </w:r>
          </w:p>
        </w:tc>
      </w:tr>
      <w:tr>
        <w:tc>
          <w:tcPr>
            <w:tcW w:type="dxa" w:w="2426"/>
            <w:tcBorders>
              <w:top w:val="single" w:color="C2D6EA" w:sz="2"/>
              <w:left w:val="single" w:color="C2D6EA" w:sz="2"/>
              <w:bottom w:val="single" w:color="C2D6EA" w:sz="2"/>
              <w:right w:val="single" w:color="C2D6EA" w:sz="2"/>
            </w:tcBorders>
            <w:shd w:fill="D6E4F0" w:val="clear"/>
            <w:tcMar>
              <w:top w:type="dxa" w:w="80"/>
              <w:left w:type="dxa" w:w="120"/>
              <w:bottom w:type="dxa" w:w="80"/>
              <w:right w:type="dxa" w:w="120"/>
            </w:tcMar>
            <w:vAlign w:val="center"/>
          </w:tcPr>
          <w:p>
            <w:r>
              <w:t xml:space="preserve">Typischer Einsatz</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Export, Tabellen</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Altsysteme, SOAP</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REST-APIs, Web</w:t>
            </w:r>
          </w:p>
        </w:tc>
      </w:tr>
    </w:tbl>
    <w:p>
      <w:pPr>
        <w:spacing w:after="80"/>
      </w:pPr>
      <w:r>
        <w:t xml:space="preserve"/>
      </w:r>
    </w:p>
    <w:p>
      <w:pPr>
        <w:pStyle w:val="Heading2"/>
      </w:pPr>
      <w:r>
        <w:t xml:space="preserve">8  Welches Format wann?</w:t>
      </w:r>
    </w:p>
    <w:p>
      <w:pPr>
        <w:pStyle w:val="ListParagraph"/>
        <w:numPr>
          <w:ilvl w:val="0"/>
          <w:numId w:val="2"/>
        </w:numPr>
        <w:spacing w:after="60" w:line="270"/>
      </w:pPr>
      <w:r>
        <w:rPr>
          <w:b/>
          <w:bCs/>
        </w:rPr>
        <w:t xml:space="preserve">CSV </w:t>
      </w:r>
      <w:r>
        <w:t xml:space="preserve">bei flachen, gleichförmigen Massendaten, beim Im- und Export zwischen Tabellen und immer dann, wenn Excel oder eine Datenbank im Spiel ist und keine Hierarchie nötig ist.</w:t>
      </w:r>
    </w:p>
    <w:p>
      <w:pPr>
        <w:pStyle w:val="ListParagraph"/>
        <w:numPr>
          <w:ilvl w:val="0"/>
          <w:numId w:val="2"/>
        </w:numPr>
        <w:spacing w:after="60" w:line="270"/>
      </w:pPr>
      <w:r>
        <w:rPr>
          <w:b/>
          <w:bCs/>
        </w:rPr>
        <w:t xml:space="preserve">XML </w:t>
      </w:r>
      <w:r>
        <w:t xml:space="preserve">wenn Daten gegen ein Schema validiert werden sollen, bei der Anbindung von Altsystemen, bei SOAP-Webservices (Simple Object Access Protocol) und für Konfigurationsdateien.</w:t>
      </w:r>
    </w:p>
    <w:p>
      <w:pPr>
        <w:pStyle w:val="ListParagraph"/>
        <w:numPr>
          <w:ilvl w:val="0"/>
          <w:numId w:val="2"/>
        </w:numPr>
        <w:spacing w:after="60" w:line="270"/>
      </w:pPr>
      <w:r>
        <w:rPr>
          <w:b/>
          <w:bCs/>
        </w:rPr>
        <w:t xml:space="preserve">JSON </w:t>
      </w:r>
      <w:r>
        <w:t xml:space="preserve">für Web- und REST-Schnittstellen, für den Datenaustausch mit einem Frontend und überall dort, wo Kompaktheit gefragt ist und Daten hierarchisch sind.</w:t>
      </w:r>
    </w:p>
    <w:p>
      <w:pPr>
        <w:pStyle w:val="Heading2"/>
      </w:pPr>
      <w:r>
        <w:t xml:space="preserve">9  Einordnung in das Modul</w:t>
      </w:r>
    </w:p>
    <w:p>
      <w:pPr>
        <w:spacing w:after="140" w:line="276"/>
      </w:pPr>
      <w:r>
        <w:t xml:space="preserve">Datenformate sind die erste Stufe von Lernfeld 8: Ohne ein gemeinsames Format gibt es keinen Austausch. Im weiteren Verlauf bauen wir auf denselben Auftragsdaten eine durchgehende Verarbeitungskette auf: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F0A500" w:sz="4"/>
              <w:left w:val="single" w:color="F0A500" w:sz="4"/>
              <w:bottom w:val="single" w:color="F0A500" w:sz="4"/>
              <w:right w:val="single" w:color="F0A500" w:sz="4"/>
            </w:tcBorders>
            <w:shd w:fill="FFF7E6" w:val="clear"/>
            <w:tcMar>
              <w:top w:type="dxa" w:w="120"/>
              <w:left w:type="dxa" w:w="160"/>
              <w:bottom w:type="dxa" w:w="120"/>
              <w:right w:type="dxa" w:w="160"/>
            </w:tcMar>
          </w:tcPr>
          <w:p>
            <w:pPr>
              <w:spacing w:after="40"/>
            </w:pPr>
            <w:r>
              <w:rPr>
                <w:b/>
                <w:bCs/>
                <w:color w:val="8A6100"/>
              </w:rPr>
              <w:t xml:space="preserve">Die Nordfracht-Pipeline</w:t>
            </w:r>
          </w:p>
          <w:p>
            <w:pPr>
              <w:spacing w:after="0"/>
            </w:pPr>
            <w:r>
              <w:rPr>
                <w:color w:val="6B4D08"/>
              </w:rPr>
              <w:t xml:space="preserve">CSV einlesen → validieren → transformieren → in der Datenbank speichern (EF6 · Entity Framework 6) → als JSON über eine REST-Schnittstelle bereitstellen.</w:t>
            </w:r>
          </w:p>
        </w:tc>
      </w:tr>
    </w:tbl>
    <w:p>
      <w:pPr>
        <w:spacing w:after="160" w:before="120"/>
      </w:pPr>
      <w:r>
        <w:t xml:space="preserve">Dieselben Daten begegnen Ihnen also in mehreren Darstellungen wieder. Welche Darstellung jeweils richtig ist, richtet sich nach dem Zielsystem.</w:t>
      </w:r>
    </w:p>
    <w:p>
      <w:pPr>
        <w:pStyle w:val="Heading2"/>
      </w:pPr>
      <w:r>
        <w:t xml:space="preserve">Abkürzungsverzeichnis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rPr>
          <w:tblHeader/>
        </w:trPr>
        <w:tc>
          <w:tcPr>
            <w:tcW w:type="dxa" w:w="2200"/>
            <w:tcBorders>
              <w:top w:val="single" w:color="C2D6EA" w:sz="2"/>
              <w:left w:val="single" w:color="C2D6EA" w:sz="2"/>
              <w:bottom w:val="single" w:color="C2D6EA" w:sz="2"/>
              <w:right w:val="single" w:color="C2D6EA" w:sz="2"/>
            </w:tcBorders>
            <w:shd w:fill="003366" w:val="clear"/>
            <w:tcMar>
              <w:top w:type="dxa" w:w="80"/>
              <w:left w:type="dxa" w:w="120"/>
              <w:bottom w:type="dxa" w:w="80"/>
              <w:right w:type="dxa" w:w="120"/>
            </w:tcMar>
            <w:vAlign w:val="center"/>
          </w:tcPr>
          <w:p>
            <w:r>
              <w:rPr>
                <w:b/>
                <w:bCs/>
                <w:color w:val="FFFFFF"/>
              </w:rPr>
              <w:t xml:space="preserve">Abkürzung</w:t>
            </w:r>
          </w:p>
        </w:tc>
        <w:tc>
          <w:tcPr>
            <w:tcW w:type="dxa" w:w="6826"/>
            <w:tcBorders>
              <w:top w:val="single" w:color="C2D6EA" w:sz="2"/>
              <w:left w:val="single" w:color="C2D6EA" w:sz="2"/>
              <w:bottom w:val="single" w:color="C2D6EA" w:sz="2"/>
              <w:right w:val="single" w:color="C2D6EA" w:sz="2"/>
            </w:tcBorders>
            <w:shd w:fill="003366" w:val="clear"/>
            <w:tcMar>
              <w:top w:type="dxa" w:w="80"/>
              <w:left w:type="dxa" w:w="120"/>
              <w:bottom w:type="dxa" w:w="80"/>
              <w:right w:type="dxa" w:w="120"/>
            </w:tcMar>
            <w:vAlign w:val="center"/>
          </w:tcPr>
          <w:p>
            <w:r>
              <w:rPr>
                <w:b/>
                <w:bCs/>
                <w:color w:val="FFFFFF"/>
              </w:rPr>
              <w:t xml:space="preserve">Bedeutung</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API</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Application Programming Interface (Programmierschnittstelle)</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BOM</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Byte Order Mark (Markierung am Dateianfang)</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CSV</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Comma-Separated Values (durch Trennzeichen getrennte Werte)</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DSGVO</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Datenschutz-Grundverordnung</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EF6</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Entity Framework 6 (objektrelationaler Mapper von .NET)</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JSON</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JavaScript Object Notation</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REST</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Representational State Transfer (Architekturstil für Schnittstellen)</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SOAP</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Simple Object Access Protocol (XML-basiertes Protokoll)</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UTF-8</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8-Bit Unicode Transformation Format (Zeichenkodierung)</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XML</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eXtensible Markup Language</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XSD</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XML Schema Definition (Schemasprache zur Validierung)</w:t>
            </w:r>
          </w:p>
        </w:tc>
      </w:tr>
    </w:tbl>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B7A"/>
        <w:sz w:val="16"/>
        <w:szCs w:val="16"/>
      </w:rPr>
      <w:t xml:space="preserve">Seite </w:t>
    </w:r>
    <w:r>
      <w:rPr>
        <w:color w:val="5B6B7A"/>
        <w:sz w:val="16"/>
        <w:szCs w:val="16"/>
      </w:rPr>
      <w:fldChar w:fldCharType="begin"/>
      <w:instrText xml:space="preserve">PAGE</w:instrText>
      <w:fldChar w:fldCharType="separate"/>
      <w:fldChar w:fldCharType="end"/>
    </w:r>
    <w:r>
      <w:rPr>
        <w:color w:val="5B6B7A"/>
        <w:sz w:val="16"/>
        <w:szCs w:val="16"/>
      </w:rPr>
      <w:t xml:space="preserve"> von </w:t>
    </w:r>
    <w:r>
      <w:rPr>
        <w:color w:val="5B6B7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B6B7A"/>
        <w:sz w:val="16"/>
        <w:szCs w:val="16"/>
      </w:rPr>
      <w:t xml:space="preserve">bfw Lübeck · LF8 – Datenformate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27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003366"/>
      <w:sz w:val="32"/>
      <w:szCs w:val="32"/>
    </w:rPr>
  </w:style>
  <w:style w:type="paragraph" w:styleId="Heading2">
    <w:name w:val="Heading 2"/>
    <w:basedOn w:val="Normal"/>
    <w:next w:val="Normal"/>
    <w:qFormat/>
    <w:pPr>
      <w:spacing w:after="120" w:before="240"/>
      <w:outlineLvl w:val="1"/>
    </w:pPr>
    <w:rPr>
      <w:rFonts w:ascii="Calibri" w:cs="Calibri" w:eastAsia="Calibri" w:hAnsi="Calibri"/>
      <w:b/>
      <w:bCs/>
      <w:color w:val="003366"/>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2026-06-11T06:10:42.518Z</dcterms:created>
  <dcterms:modified xsi:type="dcterms:W3CDTF">2026-06-11T06:10:42.519Z</dcterms:modified>
</cp:coreProperties>
</file>

<file path=docProps/custom.xml><?xml version="1.0" encoding="utf-8"?>
<Properties xmlns="http://schemas.openxmlformats.org/officeDocument/2006/custom-properties" xmlns:vt="http://schemas.openxmlformats.org/officeDocument/2006/docPropsVTypes"/>
</file>