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003366"/>
          <w:sz w:val="40"/>
          <w:szCs w:val="40"/>
        </w:rPr>
        <w:t xml:space="preserve">DSGVO-Kurzreferenz</w:t>
      </w:r>
    </w:p>
    <w:p>
      <w:pPr>
        <w:spacing w:after="30"/>
      </w:pPr>
      <w:r>
        <w:rPr>
          <w:color w:val="0066AA"/>
          <w:sz w:val="22"/>
          <w:szCs w:val="22"/>
        </w:rPr>
        <w:t xml:space="preserve">Personenbezogene Daten im systemübergreifenden Austausch</w:t>
      </w:r>
    </w:p>
    <w:p>
      <w:pPr>
        <w:spacing w:after="140"/>
      </w:pPr>
      <w:r>
        <w:rPr>
          <w:color w:val="5B6B7A"/>
          <w:sz w:val="18"/>
          <w:szCs w:val="18"/>
        </w:rPr>
        <w:t xml:space="preserve">Lernfeld 8 · Daten systemübergreifend bereitstellen · bfw Lübeck</w:t>
      </w:r>
    </w:p>
    <w:p>
      <w:pPr>
        <w:spacing w:after="80" w:before="180"/>
      </w:pPr>
      <w:r>
        <w:rPr>
          <w:b/>
          <w:bCs/>
          <w:color w:val="003366"/>
          <w:sz w:val="24"/>
          <w:szCs w:val="24"/>
        </w:rPr>
        <w:t xml:space="preserve">1  Ist es personenbezogen?</w:t>
      </w:r>
    </w:p>
    <w:p>
      <w:pPr>
        <w:spacing w:after="90" w:line="264"/>
      </w:pPr>
      <w:r>
        <w:t xml:space="preserve">Personenbezogen ist jede Information, die sich auf eine identifizierbare natürliche Person bezieht. Im Zweifel: ja behandeln.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2E7D32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b/>
                <w:bCs/>
                <w:color w:val="FFFFFF"/>
              </w:rPr>
              <w:t xml:space="preserve">personenbezogen (ja)</w:t>
            </w:r>
          </w:p>
        </w:tc>
        <w:tc>
          <w:tcPr>
            <w:tcW w:type="dxa" w:w="4513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5B6B7A" w:val="clear"/>
            <w:tcMar>
              <w:top w:type="dxa" w:w="70"/>
              <w:left w:type="dxa" w:w="130"/>
              <w:bottom w:type="dxa" w:w="70"/>
              <w:right w:type="dxa" w:w="130"/>
            </w:tcMar>
          </w:tcPr>
          <w:p>
            <w:r>
              <w:rPr>
                <w:b/>
                <w:bCs/>
                <w:color w:val="FFFFFF"/>
              </w:rPr>
              <w:t xml:space="preserve">nicht personenbezogen</w:t>
            </w:r>
          </w:p>
        </w:tc>
      </w:tr>
      <w:tr>
        <w:tc>
          <w:tcPr>
            <w:tcW w:type="dxa" w:w="4513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8F3E9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sz w:val="20"/>
                <w:szCs w:val="20"/>
              </w:rPr>
              <w:t xml:space="preserve">Name, Anschrift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sz w:val="20"/>
                <w:szCs w:val="20"/>
              </w:rPr>
              <w:t xml:space="preserve">E-Mail, Telefonnummer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sz w:val="20"/>
                <w:szCs w:val="20"/>
              </w:rPr>
              <w:t xml:space="preserve">Kundennummer, Personalnummer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sz w:val="20"/>
                <w:szCs w:val="20"/>
              </w:rPr>
              <w:t xml:space="preserve">IP-Adresse, Standortdaten</w:t>
            </w:r>
          </w:p>
        </w:tc>
        <w:tc>
          <w:tcPr>
            <w:tcW w:type="dxa" w:w="4513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EEF5FB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sz w:val="20"/>
                <w:szCs w:val="20"/>
              </w:rPr>
              <w:t xml:space="preserve">Artikelnummer, Gewicht, Menge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sz w:val="20"/>
                <w:szCs w:val="20"/>
              </w:rPr>
              <w:t xml:space="preserve">aggregierte Summen ohne Bezug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sz w:val="20"/>
                <w:szCs w:val="20"/>
              </w:rPr>
              <w:t xml:space="preserve">vollständig anonymisierte Daten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30" w:line="250"/>
            </w:pPr>
            <w:r>
              <w:rPr>
                <w:sz w:val="20"/>
                <w:szCs w:val="20"/>
              </w:rPr>
              <w:t xml:space="preserve">reine Sach- und Sensordaten</w:t>
            </w:r>
          </w:p>
        </w:tc>
      </w:tr>
    </w:tbl>
    <w:p>
      <w:pPr>
        <w:spacing w:after="80" w:before="180"/>
      </w:pPr>
      <w:r>
        <w:rPr>
          <w:b/>
          <w:bCs/>
          <w:color w:val="003366"/>
          <w:sz w:val="24"/>
          <w:szCs w:val="24"/>
        </w:rPr>
        <w:t xml:space="preserve">2  Die Grundsätze (Art. 5 DSGVO)</w:t>
      </w:r>
    </w:p>
    <w:p>
      <w:pPr>
        <w:pStyle w:val="ListParagraph"/>
        <w:numPr>
          <w:ilvl w:val="0"/>
          <w:numId w:val="3"/>
        </w:numPr>
        <w:spacing w:after="42" w:line="258"/>
      </w:pPr>
      <w:r>
        <w:rPr>
          <w:b/>
          <w:bCs/>
        </w:rPr>
        <w:t xml:space="preserve">Rechtmäßigkeit, Treu und Glauben, Transparenz – </w:t>
      </w:r>
      <w:r>
        <w:t xml:space="preserve">nur mit Rechtsgrundlage und nachvollziehbar.</w:t>
      </w:r>
    </w:p>
    <w:p>
      <w:pPr>
        <w:pStyle w:val="ListParagraph"/>
        <w:numPr>
          <w:ilvl w:val="0"/>
          <w:numId w:val="3"/>
        </w:numPr>
        <w:spacing w:after="42" w:line="258"/>
      </w:pPr>
      <w:r>
        <w:rPr>
          <w:b/>
          <w:bCs/>
        </w:rPr>
        <w:t xml:space="preserve">Zweckbindung – </w:t>
      </w:r>
      <w:r>
        <w:t xml:space="preserve">nur für den festgelegten Zweck verwenden.</w:t>
      </w:r>
    </w:p>
    <w:p>
      <w:pPr>
        <w:pStyle w:val="ListParagraph"/>
        <w:numPr>
          <w:ilvl w:val="0"/>
          <w:numId w:val="3"/>
        </w:numPr>
        <w:spacing w:after="42" w:line="258"/>
      </w:pPr>
      <w:r>
        <w:rPr>
          <w:b/>
          <w:bCs/>
        </w:rPr>
        <w:t xml:space="preserve">Datenminimierung – </w:t>
      </w:r>
      <w:r>
        <w:t xml:space="preserve">nur so viele Daten wie nötig.</w:t>
      </w:r>
    </w:p>
    <w:p>
      <w:pPr>
        <w:pStyle w:val="ListParagraph"/>
        <w:numPr>
          <w:ilvl w:val="0"/>
          <w:numId w:val="3"/>
        </w:numPr>
        <w:spacing w:after="42" w:line="258"/>
      </w:pPr>
      <w:r>
        <w:rPr>
          <w:b/>
          <w:bCs/>
        </w:rPr>
        <w:t xml:space="preserve">Richtigkeit – </w:t>
      </w:r>
      <w:r>
        <w:t xml:space="preserve">Daten aktuell und korrekt halten.</w:t>
      </w:r>
    </w:p>
    <w:p>
      <w:pPr>
        <w:pStyle w:val="ListParagraph"/>
        <w:numPr>
          <w:ilvl w:val="0"/>
          <w:numId w:val="3"/>
        </w:numPr>
        <w:spacing w:after="42" w:line="258"/>
      </w:pPr>
      <w:r>
        <w:rPr>
          <w:b/>
          <w:bCs/>
        </w:rPr>
        <w:t xml:space="preserve">Speicherbegrenzung – </w:t>
      </w:r>
      <w:r>
        <w:t xml:space="preserve">nicht länger speichern als nötig.</w:t>
      </w:r>
    </w:p>
    <w:p>
      <w:pPr>
        <w:pStyle w:val="ListParagraph"/>
        <w:numPr>
          <w:ilvl w:val="0"/>
          <w:numId w:val="3"/>
        </w:numPr>
        <w:spacing w:after="42" w:line="258"/>
      </w:pPr>
      <w:r>
        <w:rPr>
          <w:b/>
          <w:bCs/>
        </w:rPr>
        <w:t xml:space="preserve">Integrität und Vertraulichkeit – </w:t>
      </w:r>
      <w:r>
        <w:t xml:space="preserve">vor unbefugtem Zugriff schützen (u. a. Verschlüsselung).</w:t>
      </w:r>
    </w:p>
    <w:p>
      <w:pPr>
        <w:spacing w:after="90" w:line="264"/>
      </w:pPr>
      <w:r>
        <w:rPr>
          <w:b/>
          <w:bCs/>
        </w:rPr>
        <w:t xml:space="preserve">Dazu die Rechenschaftspflicht: </w:t>
      </w:r>
      <w:r>
        <w:t xml:space="preserve">Die Einhaltung muss nachgewiesen werden können.</w:t>
      </w:r>
    </w:p>
    <w:p>
      <w:pPr>
        <w:spacing w:after="80" w:before="180"/>
      </w:pPr>
      <w:r>
        <w:rPr>
          <w:b/>
          <w:bCs/>
          <w:color w:val="003366"/>
          <w:sz w:val="24"/>
          <w:szCs w:val="24"/>
        </w:rPr>
        <w:t xml:space="preserve">3  Checkliste vor dem Datenaustausch</w:t>
      </w:r>
    </w:p>
    <w:p>
      <w:pPr>
        <w:pStyle w:val="ListParagraph"/>
        <w:numPr>
          <w:ilvl w:val="0"/>
          <w:numId w:val="4"/>
        </w:numPr>
        <w:spacing w:after="46" w:line="260"/>
      </w:pPr>
      <w:r>
        <w:t xml:space="preserve">Werden überhaupt personenbezogene Daten übertragen?</w:t>
      </w:r>
    </w:p>
    <w:p>
      <w:pPr>
        <w:pStyle w:val="ListParagraph"/>
        <w:numPr>
          <w:ilvl w:val="0"/>
          <w:numId w:val="4"/>
        </w:numPr>
        <w:spacing w:after="46" w:line="260"/>
      </w:pPr>
      <w:r>
        <w:t xml:space="preserve">Ist der Zweck geklärt und eine Rechtsgrundlage vorhanden?</w:t>
      </w:r>
    </w:p>
    <w:p>
      <w:pPr>
        <w:pStyle w:val="ListParagraph"/>
        <w:numPr>
          <w:ilvl w:val="0"/>
          <w:numId w:val="4"/>
        </w:numPr>
        <w:spacing w:after="46" w:line="260"/>
      </w:pPr>
      <w:r>
        <w:t xml:space="preserve">Nur die wirklich benötigten Felder ausgewählt? (Datenminimierung)</w:t>
      </w:r>
    </w:p>
    <w:p>
      <w:pPr>
        <w:pStyle w:val="ListParagraph"/>
        <w:numPr>
          <w:ilvl w:val="0"/>
          <w:numId w:val="4"/>
        </w:numPr>
        <w:spacing w:after="46" w:line="260"/>
      </w:pPr>
      <w:r>
        <w:t xml:space="preserve">Übertragung verschlüsselt (TLS/HTTPS)?</w:t>
      </w:r>
    </w:p>
    <w:p>
      <w:pPr>
        <w:pStyle w:val="ListParagraph"/>
        <w:numPr>
          <w:ilvl w:val="0"/>
          <w:numId w:val="4"/>
        </w:numPr>
        <w:spacing w:after="46" w:line="260"/>
      </w:pPr>
      <w:r>
        <w:t xml:space="preserve">Zugriff auf Rollen / technische Konten beschränkt?</w:t>
      </w:r>
    </w:p>
    <w:p>
      <w:pPr>
        <w:pStyle w:val="ListParagraph"/>
        <w:numPr>
          <w:ilvl w:val="0"/>
          <w:numId w:val="4"/>
        </w:numPr>
        <w:spacing w:after="46" w:line="260"/>
      </w:pPr>
      <w:r>
        <w:t xml:space="preserve">Lösch- und Aufbewahrungsfristen festgelegt?</w:t>
      </w:r>
    </w:p>
    <w:p>
      <w:pPr>
        <w:pStyle w:val="ListParagraph"/>
        <w:numPr>
          <w:ilvl w:val="0"/>
          <w:numId w:val="4"/>
        </w:numPr>
        <w:spacing w:after="46" w:line="260"/>
      </w:pPr>
      <w:r>
        <w:t xml:space="preserve">Bei externem Dienstleister: Auftragsverarbeitungsvertrag (AVV) geschlossen?</w:t>
      </w:r>
    </w:p>
    <w:p>
      <w:pPr>
        <w:spacing w:after="80" w:before="180"/>
      </w:pPr>
      <w:r>
        <w:rPr>
          <w:b/>
          <w:bCs/>
          <w:color w:val="003366"/>
          <w:sz w:val="24"/>
          <w:szCs w:val="24"/>
        </w:rPr>
        <w:t xml:space="preserve">4  Wann ein AVV?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after="0" w:line="264"/>
            </w:pPr>
            <w:r>
              <w:rPr>
                <w:color w:val="6B4D08"/>
              </w:rPr>
              <w:t xml:space="preserve">Immer dann, wenn ein externer Dienstleister personenbezogene Daten im Auftrag verarbeitet – z. B. Cloud-Speicher, Hosting, Newsletter-Versand. Der AVV regelt Zweck, Dauer, Schutzmaßnahmen und die Weisungsbindung.</w:t>
            </w:r>
          </w:p>
        </w:tc>
      </w:tr>
    </w:tbl>
    <w:p>
      <w:pPr>
        <w:spacing w:before="160"/>
      </w:pPr>
      <w:r>
        <w:rPr>
          <w:i/>
          <w:iCs/>
          <w:color w:val="5B6B7A"/>
          <w:sz w:val="18"/>
          <w:szCs w:val="18"/>
        </w:rPr>
        <w:t xml:space="preserve">Ausführliche Betroffenenrechte (Auskunft, Berichtigung, Löschung u. a.): siehe Referenzblatt aus Lernfeld 4.</w:t>
      </w:r>
    </w:p>
    <w:sectPr>
      <w:headerReference w:type="default" r:id="rId7"/>
      <w:footerReference w:type="default" r:id="rId8"/>
      <w:pgSz w:w="11906" w:h="16838" w:orient="portrait"/>
      <w:pgMar w:top="1280" w:right="1280" w:bottom="1100" w:left="12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DSGVO-Kurzreferenz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46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2026-06-11T11:06:39.169Z</dcterms:created>
  <dcterms:modified xsi:type="dcterms:W3CDTF">2026-06-11T11:06:39.170Z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