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F0A500"/>
          <w:spacing w:val="30"/>
          <w:sz w:val="20"/>
          <w:szCs w:val="20"/>
        </w:rPr>
        <w:t xml:space="preserve">MODUL H  ·  LERNZETTEL</w:t>
      </w:r>
    </w:p>
    <w:p>
      <w:pPr>
        <w:pBdr>
          <w:bottom w:val="single" w:color="003366" w:sz="12" w:space="6"/>
        </w:pBdr>
        <w:spacing w:after="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Cyber-physische Systeme, IoT &amp; Industrie 4.0</w:t>
      </w:r>
    </w:p>
    <w:p>
      <w:pPr>
        <w:spacing w:after="240"/>
      </w:pPr>
      <w:r>
        <w:rPr>
          <w:rFonts w:ascii="Calibri" w:cs="Calibri" w:eastAsia="Calibri" w:hAnsi="Calibri"/>
          <w:color w:val="5A6470"/>
          <w:sz w:val="20"/>
          <w:szCs w:val="20"/>
        </w:rPr>
        <w:t xml:space="preserve">Kompakte Zusammenfassung aller fünf Blöcke zur Klausurvorbereitung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1  Grundlagen &amp; Architektur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Industrielle Revolutionen: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1.0 Mechanisierung (Dampf) · 2.0 Massenproduktion (Elektrizität, Fließband) · 3.0 Automatisierung (IT, SPS) · 4.0 Vernetzung (CPS, IoT).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CPS: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Software/Information + Mechanik/Elektronik, vernetzt über Internet.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IoT vs. IIoT: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IoT = vernetzte Alltagsobjekte; IIoT = industriell, höhere Anforderungen (Echtzeit, Zuverlässigkeit, Sicherheit).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IoT-Schichtenmodell: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Wahrnehmung (Sensoren/Aktoren) → Netzwerk (Übertragung/Protokolle) → Anwendung (Verarbeitung/Dashboards).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Technische Anforderungen: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Konnektivität, Energieeffizienz, Sicherheit, Interoperabilität, Skalierbarkeit, Latenz, Zuverlässigkeit.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2  Sensorik, Controller &amp; Aktoren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Wirkkette: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Sensor (misst) → Controller (verarbeitet) → Aktor (handelt).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Aktiv vs. passiv: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aktiv sendet Signal aus (Radar, Lidar, Ultraschall); passiv empfängt nur (Kamera, Temperatur, PIR).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SBC vs. MCU: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SBC = Computer mit OS, leistungsstark, höherer Verbrauch (Raspberry Pi). MCU = Chip ohne OS, sparsam, echtzeitfähig (Arduino, ESP32).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3  Kommunikation &amp; Protokolle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OSI-Einordnung: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MQTT/CoAP/HTTP = Anwendung · TLS/JSON = Darstellung · TCP/UDP = Transport · IP/6LoWPAN = Vermittlung · WiFi/ZigBee = Sicherung.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Anwendungsprotokolle: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MQTT (Pub/Sub, TCP, IoT) · CoAP (UDP, ressourcenarm) · HTTP/REST · AMQP · OPC UA (Industrie).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MQTT: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Publisher → Topic → Broker → Subscriber (entkoppelt). Topic = Pfad; Wildcards + / # ; Retain = letzte Nachricht speichern; Last Will.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QoS: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0 = höchstens einmal (fire&amp;forget) · 1 = mindestens einmal · 2 = genau einmal (kritisch).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4G → 5G: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höhere Datenrate (bis 20 Gbit/s), Latenz 1–10 ms, mehr Geräte/km², Network Slicing. Kategorien: eMBB, URLLC, mMTC.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4  Anwendungsfelder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Smart-Home-Funk: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WLAN (Bandbreite), ZigBee (Mesh, sparsam), Z-Wave (lizenzpflichtig), BLE (kurz), Matter (herstellerübergreifend).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Smart Factory: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Predictive Maintenance (vorausschauende Wartung), Digital Twin (virtuelles Abbild), Losgröße 1, Edge Computing.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Automotive: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ADAS, autonomes Fahren, V2X, Telematik, OTA. SAE J3016 (6 Level): 0 (keine) – 1 (assistiert) – 2 (teil) – 3 (bedingt) – 4 (hoch) – 5 (voll/autonom).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VR/AR/MR: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VR = virtuell &amp; abgeschottet · AR = digitale Overlays auf Realität · MR = beides kombiniert, Objekte interagieren (HoloLens).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5  Arbeitswelt, Qualität &amp; Vorgehen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Serverraum-Gefahren: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Feuer (Gaslöschanlage), Wasser (Sensoren/Doppelboden), Hitze (Klima), Strom (USV), Zugang (Zutrittskontrolle). BSI INF.2.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VUCA: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Volatility, Uncertainty, Complexity, Ambiguity – Modell der unsicheren Arbeitswelt.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CALMS (DevOps):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Culture, Automation, Lean, Measurement, Sharing.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Prototyping: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Wegwerf, evolutionär, horizontal, vertikal, Paper/Mockup. Vorteil: frühes Feedback; Nachteil: Mehraufwand, technische Schulden.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FMEA: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präventive Fehleranalyse. RPZ = A × B × E (je 1–10). Hoher E = schwer entdeckbar = höheres Risiko. Höhere RPZ = höhere Priorität.</w:t>
      </w:r>
    </w:p>
    <w:p>
      <w:pPr>
        <w:spacing w:before="1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Merkformel FMEA: 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RPZ = Auftreten × Bedeutung × Entdeckung   (max. 1000)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5A6470"/>
        <w:sz w:val="16"/>
        <w:szCs w:val="16"/>
      </w:rPr>
      <w:t xml:space="preserve">[Vor- und Nachname]</w:t>
    </w:r>
    <w:r>
      <w:rPr>
        <w:rFonts w:ascii="Calibri" w:cs="Calibri" w:eastAsia="Calibri" w:hAnsi="Calibri"/>
        <w:color w:val="5A6470"/>
        <w:sz w:val="16"/>
        <w:szCs w:val="16"/>
      </w:rPr>
      <w:t xml:space="preserve">	Modul H – Lernzettel</w:t>
    </w:r>
    <w:r>
      <w:rPr>
        <w:rFonts w:ascii="Calibri" w:cs="Calibri" w:eastAsia="Calibri" w:hAnsi="Calibri"/>
        <w:color w:val="5A6470"/>
        <w:sz w:val="16"/>
        <w:szCs w:val="16"/>
      </w:rPr>
      <w:t xml:space="preserve">	TT.MM.JJJJ   |   Seite </w:t>
    </w:r>
    <w:r>
      <w:rPr>
        <w:rFonts w:ascii="Calibri" w:cs="Calibri" w:eastAsia="Calibri" w:hAnsi="Calibri"/>
        <w:color w:val="5A647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470"/>
        <w:sz w:val="16"/>
        <w:szCs w:val="16"/>
      </w:rPr>
      <w:t xml:space="preserve"> von </w:t>
    </w:r>
    <w:r>
      <w:rPr>
        <w:rFonts w:ascii="Calibri" w:cs="Calibri" w:eastAsia="Calibri" w:hAnsi="Calibri"/>
        <w:color w:val="5A647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6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160"/>
      <w:outlineLvl w:val="1"/>
    </w:pPr>
    <w:rPr>
      <w:rFonts w:ascii="Calibri" w:cs="Calibri" w:eastAsia="Calibri" w:hAnsi="Calibri"/>
      <w:b/>
      <w:bCs/>
      <w:color w:val="0066AA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2026-06-05T09:43:06.343Z</dcterms:created>
  <dcterms:modified xsi:type="dcterms:W3CDTF">2026-06-05T09:43:06.343Z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