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F0A500"/>
          <w:spacing w:val="30"/>
          <w:sz w:val="20"/>
          <w:szCs w:val="20"/>
        </w:rPr>
        <w:t xml:space="preserve">MODUL H  ·  HANDOUT</w:t>
      </w:r>
    </w:p>
    <w:p>
      <w:pPr>
        <w:pBdr>
          <w:bottom w:val="single" w:color="003366" w:sz="12" w:space="6"/>
        </w:pBdr>
        <w:spacing w:after="40"/>
      </w:pPr>
      <w:r>
        <w:rPr>
          <w:rFonts w:ascii="Calibri" w:cs="Calibri" w:eastAsia="Calibri" w:hAnsi="Calibri"/>
          <w:b/>
          <w:bCs/>
          <w:color w:val="003366"/>
          <w:sz w:val="40"/>
          <w:szCs w:val="40"/>
        </w:rPr>
        <w:t xml:space="preserve">Block 4: Anwendungsfelder</w:t>
      </w:r>
    </w:p>
    <w:p>
      <w:pPr>
        <w:spacing w:after="240"/>
      </w:pPr>
      <w:r>
        <w:rPr>
          <w:rFonts w:ascii="Calibri" w:cs="Calibri" w:eastAsia="Calibri" w:hAnsi="Calibri"/>
          <w:color w:val="5A6470"/>
          <w:sz w:val="20"/>
          <w:szCs w:val="20"/>
        </w:rPr>
        <w:t xml:space="preserve">Smart Home · Smart Factory · Automotive · VR/AR · Fachinformatiker AE / SI</w:t>
      </w:r>
    </w:p>
    <w:p>
      <w:pPr>
        <w:pStyle w:val="Heading1"/>
      </w:pPr>
      <w:r>
        <w:rPr>
          <w:rFonts w:ascii="Calibri" w:cs="Calibri" w:eastAsia="Calibri" w:hAnsi="Calibri"/>
          <w:b/>
          <w:bCs/>
          <w:color w:val="003366"/>
        </w:rPr>
        <w:t xml:space="preserve">1  Einführung</w:t>
      </w:r>
    </w:p>
    <w:p>
      <w:pPr>
        <w:spacing w:after="120"/>
      </w:pPr>
      <w:r>
        <w:rPr>
          <w:rFonts w:ascii="Calibri" w:cs="Calibri" w:eastAsia="Calibri" w:hAnsi="Calibri"/>
          <w:color w:val="1A1A1A"/>
          <w:sz w:val="22"/>
          <w:szCs w:val="22"/>
        </w:rPr>
        <w:t xml:space="preserve">Die Grundlagen aus den Blöcken 1–3 – cyber-physische Systeme, Sensorik und Kommunikationsprotokolle – kommen in konkreten Anwendungsfeldern zum Tragen. Dieser Block zeigt, wie IoT und Industrie 4.0 das vernetzte Zuhause, die intelligente Fabrik und das vernetzte Fahrzeug prägen und welche Rolle VR und AR dabei spielen.</w:t>
      </w:r>
    </w:p>
    <w:p>
      <w:pPr>
        <w:spacing w:after="120"/>
      </w:pPr>
      <w:r>
        <w:rPr>
          <w:rFonts w:ascii="Calibri" w:cs="Calibri" w:eastAsia="Calibri" w:hAnsi="Calibri"/>
          <w:b/>
          <w:bCs/>
          <w:color w:val="0066AA"/>
          <w:sz w:val="22"/>
          <w:szCs w:val="22"/>
        </w:rPr>
        <w:t xml:space="preserve">Lernziele: </w:t>
      </w:r>
    </w:p>
    <w:p>
      <w:pPr>
        <w:pStyle w:val="ListParagraph"/>
        <w:numPr>
          <w:ilvl w:val="0"/>
          <w:numId w:val="2"/>
        </w:numPr>
        <w:spacing w:after="60"/>
      </w:pPr>
      <w:r>
        <w:rPr>
          <w:rFonts w:ascii="Calibri" w:cs="Calibri" w:eastAsia="Calibri" w:hAnsi="Calibri"/>
          <w:color w:val="1A1A1A"/>
          <w:sz w:val="22"/>
          <w:szCs w:val="22"/>
        </w:rPr>
        <w:t xml:space="preserve">Smart-Home-Bereiche und Funkstandards benennen.</w:t>
      </w:r>
    </w:p>
    <w:p>
      <w:pPr>
        <w:pStyle w:val="ListParagraph"/>
        <w:numPr>
          <w:ilvl w:val="0"/>
          <w:numId w:val="2"/>
        </w:numPr>
        <w:spacing w:after="60"/>
      </w:pPr>
      <w:r>
        <w:rPr>
          <w:rFonts w:ascii="Calibri" w:cs="Calibri" w:eastAsia="Calibri" w:hAnsi="Calibri"/>
          <w:color w:val="1A1A1A"/>
          <w:sz w:val="22"/>
          <w:szCs w:val="22"/>
        </w:rPr>
        <w:t xml:space="preserve">Kernkonzepte der Smart Factory erklären.</w:t>
      </w:r>
    </w:p>
    <w:p>
      <w:pPr>
        <w:pStyle w:val="ListParagraph"/>
        <w:numPr>
          <w:ilvl w:val="0"/>
          <w:numId w:val="2"/>
        </w:numPr>
        <w:spacing w:after="60"/>
      </w:pPr>
      <w:r>
        <w:rPr>
          <w:rFonts w:ascii="Calibri" w:cs="Calibri" w:eastAsia="Calibri" w:hAnsi="Calibri"/>
          <w:color w:val="1A1A1A"/>
          <w:sz w:val="22"/>
          <w:szCs w:val="22"/>
        </w:rPr>
        <w:t xml:space="preserve">Automotive-Anwendungen und SAE-Stufen einordnen.</w:t>
      </w:r>
    </w:p>
    <w:p>
      <w:pPr>
        <w:pStyle w:val="ListParagraph"/>
        <w:numPr>
          <w:ilvl w:val="0"/>
          <w:numId w:val="2"/>
        </w:numPr>
        <w:spacing w:after="60"/>
      </w:pPr>
      <w:r>
        <w:rPr>
          <w:rFonts w:ascii="Calibri" w:cs="Calibri" w:eastAsia="Calibri" w:hAnsi="Calibri"/>
          <w:color w:val="1A1A1A"/>
          <w:sz w:val="22"/>
          <w:szCs w:val="22"/>
        </w:rPr>
        <w:t xml:space="preserve">VR, AR und MR unterscheiden und industrielle Einsätze nennen.</w:t>
      </w:r>
    </w:p>
    <w:p>
      <w:pPr>
        <w:pStyle w:val="Heading1"/>
      </w:pPr>
      <w:r>
        <w:rPr>
          <w:rFonts w:ascii="Calibri" w:cs="Calibri" w:eastAsia="Calibri" w:hAnsi="Calibri"/>
          <w:b/>
          <w:bCs/>
          <w:color w:val="003366"/>
        </w:rPr>
        <w:t xml:space="preserve">2  Smart Home – Einsatzgebiete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3700"/>
        <w:gridCol w:w="3426"/>
      </w:tblGrid>
      <w:tr>
        <w:tc>
          <w:tcPr>
            <w:tcW w:type="dxa" w:w="19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Bereich</w:t>
            </w:r>
          </w:p>
        </w:tc>
        <w:tc>
          <w:tcPr>
            <w:tcW w:type="dxa" w:w="37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Anwendungen</w:t>
            </w:r>
          </w:p>
        </w:tc>
        <w:tc>
          <w:tcPr>
            <w:tcW w:type="dxa" w:w="3426"/>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Beispielgeräte</w:t>
            </w:r>
          </w:p>
        </w:tc>
      </w:tr>
      <w:tr>
        <w:tc>
          <w:tcPr>
            <w:tcW w:type="dxa" w:w="19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Beleuchtung</w:t>
            </w:r>
          </w:p>
        </w:tc>
        <w:tc>
          <w:tcPr>
            <w:tcW w:type="dxa" w:w="3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automatische Steuerung, Szenen, Zeitschaltung</w:t>
            </w:r>
          </w:p>
        </w:tc>
        <w:tc>
          <w:tcPr>
            <w:tcW w:type="dxa" w:w="34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Philips Hue, Smart Bulbs, LED-Strips</w:t>
            </w:r>
          </w:p>
        </w:tc>
      </w:tr>
      <w:tr>
        <w:tc>
          <w:tcPr>
            <w:tcW w:type="dxa" w:w="19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Heizung/Klima</w:t>
            </w:r>
          </w:p>
        </w:tc>
        <w:tc>
          <w:tcPr>
            <w:tcW w:type="dxa" w:w="3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Thermostate, Raumtemperaturregelung, Lüftung</w:t>
            </w:r>
          </w:p>
        </w:tc>
        <w:tc>
          <w:tcPr>
            <w:tcW w:type="dxa" w:w="34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Nest, tado°, Homematic IP</w:t>
            </w:r>
          </w:p>
        </w:tc>
      </w:tr>
      <w:tr>
        <w:tc>
          <w:tcPr>
            <w:tcW w:type="dxa" w:w="19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Sicherheit</w:t>
            </w:r>
          </w:p>
        </w:tc>
        <w:tc>
          <w:tcPr>
            <w:tcW w:type="dxa" w:w="3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Kameras, Bewegungsmelder, Türschlösser</w:t>
            </w:r>
          </w:p>
        </w:tc>
        <w:tc>
          <w:tcPr>
            <w:tcW w:type="dxa" w:w="34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Ring, Nuki, Bosch Smart Home</w:t>
            </w:r>
          </w:p>
        </w:tc>
      </w:tr>
      <w:tr>
        <w:tc>
          <w:tcPr>
            <w:tcW w:type="dxa" w:w="19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Entertainment</w:t>
            </w:r>
          </w:p>
        </w:tc>
        <w:tc>
          <w:tcPr>
            <w:tcW w:type="dxa" w:w="3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Multiroom-Audio, Smart TV, Streaming</w:t>
            </w:r>
          </w:p>
        </w:tc>
        <w:tc>
          <w:tcPr>
            <w:tcW w:type="dxa" w:w="34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Sonos, Amazon Fire TV, Apple TV</w:t>
            </w:r>
          </w:p>
        </w:tc>
      </w:tr>
      <w:tr>
        <w:tc>
          <w:tcPr>
            <w:tcW w:type="dxa" w:w="19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Energie</w:t>
            </w:r>
          </w:p>
        </w:tc>
        <w:tc>
          <w:tcPr>
            <w:tcW w:type="dxa" w:w="3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Smart Meter, PV-Monitoring, Wallbox</w:t>
            </w:r>
          </w:p>
        </w:tc>
        <w:tc>
          <w:tcPr>
            <w:tcW w:type="dxa" w:w="34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Shelly, SMA, Wibutler</w:t>
            </w:r>
          </w:p>
        </w:tc>
      </w:tr>
      <w:tr>
        <w:tc>
          <w:tcPr>
            <w:tcW w:type="dxa" w:w="19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Haushaltsgeräte</w:t>
            </w:r>
          </w:p>
        </w:tc>
        <w:tc>
          <w:tcPr>
            <w:tcW w:type="dxa" w:w="3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Waschmaschine, Kühlschrank, Staubsauger</w:t>
            </w:r>
          </w:p>
        </w:tc>
        <w:tc>
          <w:tcPr>
            <w:tcW w:type="dxa" w:w="34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iRobot, Miele@home, Home Connect</w:t>
            </w:r>
          </w:p>
        </w:tc>
      </w:tr>
    </w:tbl>
    <w:p>
      <w:pPr>
        <w:pStyle w:val="Heading1"/>
      </w:pPr>
      <w:r>
        <w:rPr>
          <w:rFonts w:ascii="Calibri" w:cs="Calibri" w:eastAsia="Calibri" w:hAnsi="Calibri"/>
          <w:b/>
          <w:bCs/>
          <w:color w:val="003366"/>
        </w:rPr>
        <w:t xml:space="preserve">3  Smart Home – Kommunikationsstandards</w:t>
      </w:r>
    </w:p>
    <w:p>
      <w:pPr>
        <w:spacing w:after="40" w:before="120"/>
      </w:pPr>
      <w:r>
        <w:rPr>
          <w:rFonts w:ascii="Calibri" w:cs="Calibri" w:eastAsia="Calibri" w:hAnsi="Calibri"/>
          <w:b/>
          <w:bCs/>
          <w:color w:val="003366"/>
          <w:sz w:val="23"/>
          <w:szCs w:val="23"/>
        </w:rPr>
        <w:t xml:space="preserve">Funkstandards</w:t>
      </w:r>
    </w:p>
    <w:p>
      <w:pPr>
        <w:pStyle w:val="ListParagraph"/>
        <w:numPr>
          <w:ilvl w:val="0"/>
          <w:numId w:val="2"/>
        </w:numPr>
        <w:spacing w:after="60"/>
      </w:pPr>
      <w:r>
        <w:rPr>
          <w:rFonts w:ascii="Calibri" w:cs="Calibri" w:eastAsia="Calibri" w:hAnsi="Calibri"/>
          <w:b/>
          <w:bCs/>
          <w:color w:val="1A1A1A"/>
          <w:sz w:val="22"/>
          <w:szCs w:val="22"/>
        </w:rPr>
        <w:t xml:space="preserve">WLAN (IEEE 802.11): </w:t>
      </w:r>
      <w:r>
        <w:rPr>
          <w:rFonts w:ascii="Calibri" w:cs="Calibri" w:eastAsia="Calibri" w:hAnsi="Calibri"/>
          <w:color w:val="1A1A1A"/>
          <w:sz w:val="22"/>
          <w:szCs w:val="22"/>
        </w:rPr>
        <w:t xml:space="preserve">hohe Bandbreite.</w:t>
      </w:r>
    </w:p>
    <w:p>
      <w:pPr>
        <w:pStyle w:val="ListParagraph"/>
        <w:numPr>
          <w:ilvl w:val="0"/>
          <w:numId w:val="2"/>
        </w:numPr>
        <w:spacing w:after="60"/>
      </w:pPr>
      <w:r>
        <w:rPr>
          <w:rFonts w:ascii="Calibri" w:cs="Calibri" w:eastAsia="Calibri" w:hAnsi="Calibri"/>
          <w:b/>
          <w:bCs/>
          <w:color w:val="1A1A1A"/>
          <w:sz w:val="22"/>
          <w:szCs w:val="22"/>
        </w:rPr>
        <w:t xml:space="preserve">Bluetooth/BLE: </w:t>
      </w:r>
      <w:r>
        <w:rPr>
          <w:rFonts w:ascii="Calibri" w:cs="Calibri" w:eastAsia="Calibri" w:hAnsi="Calibri"/>
          <w:color w:val="1A1A1A"/>
          <w:sz w:val="22"/>
          <w:szCs w:val="22"/>
        </w:rPr>
        <w:t xml:space="preserve">geringe Reichweite, energiesparend.</w:t>
      </w:r>
    </w:p>
    <w:p>
      <w:pPr>
        <w:pStyle w:val="ListParagraph"/>
        <w:numPr>
          <w:ilvl w:val="0"/>
          <w:numId w:val="2"/>
        </w:numPr>
        <w:spacing w:after="60"/>
      </w:pPr>
      <w:r>
        <w:rPr>
          <w:rFonts w:ascii="Calibri" w:cs="Calibri" w:eastAsia="Calibri" w:hAnsi="Calibri"/>
          <w:b/>
          <w:bCs/>
          <w:color w:val="1A1A1A"/>
          <w:sz w:val="22"/>
          <w:szCs w:val="22"/>
        </w:rPr>
        <w:t xml:space="preserve">ZigBee: </w:t>
      </w:r>
      <w:r>
        <w:rPr>
          <w:rFonts w:ascii="Calibri" w:cs="Calibri" w:eastAsia="Calibri" w:hAnsi="Calibri"/>
          <w:color w:val="1A1A1A"/>
          <w:sz w:val="22"/>
          <w:szCs w:val="22"/>
        </w:rPr>
        <w:t xml:space="preserve">energiesparendes Mesh-Netzwerk.</w:t>
      </w:r>
    </w:p>
    <w:p>
      <w:pPr>
        <w:pStyle w:val="ListParagraph"/>
        <w:numPr>
          <w:ilvl w:val="0"/>
          <w:numId w:val="2"/>
        </w:numPr>
        <w:spacing w:after="60"/>
      </w:pPr>
      <w:r>
        <w:rPr>
          <w:rFonts w:ascii="Calibri" w:cs="Calibri" w:eastAsia="Calibri" w:hAnsi="Calibri"/>
          <w:b/>
          <w:bCs/>
          <w:color w:val="1A1A1A"/>
          <w:sz w:val="22"/>
          <w:szCs w:val="22"/>
        </w:rPr>
        <w:t xml:space="preserve">Z-Wave: </w:t>
      </w:r>
      <w:r>
        <w:rPr>
          <w:rFonts w:ascii="Calibri" w:cs="Calibri" w:eastAsia="Calibri" w:hAnsi="Calibri"/>
          <w:color w:val="1A1A1A"/>
          <w:sz w:val="22"/>
          <w:szCs w:val="22"/>
        </w:rPr>
        <w:t xml:space="preserve">lizenzpflichtig, gute Interoperabilität.</w:t>
      </w:r>
    </w:p>
    <w:p>
      <w:pPr>
        <w:pStyle w:val="ListParagraph"/>
        <w:numPr>
          <w:ilvl w:val="0"/>
          <w:numId w:val="2"/>
        </w:numPr>
        <w:spacing w:after="60"/>
      </w:pPr>
      <w:r>
        <w:rPr>
          <w:rFonts w:ascii="Calibri" w:cs="Calibri" w:eastAsia="Calibri" w:hAnsi="Calibri"/>
          <w:b/>
          <w:bCs/>
          <w:color w:val="1A1A1A"/>
          <w:sz w:val="22"/>
          <w:szCs w:val="22"/>
        </w:rPr>
        <w:t xml:space="preserve">Matter: </w:t>
      </w:r>
      <w:r>
        <w:rPr>
          <w:rFonts w:ascii="Calibri" w:cs="Calibri" w:eastAsia="Calibri" w:hAnsi="Calibri"/>
          <w:color w:val="1A1A1A"/>
          <w:sz w:val="22"/>
          <w:szCs w:val="22"/>
        </w:rPr>
        <w:t xml:space="preserve">neuer, herstellerübergreifender Standard.</w:t>
      </w:r>
    </w:p>
    <w:p>
      <w:pPr>
        <w:spacing w:after="40" w:before="120"/>
      </w:pPr>
      <w:r>
        <w:rPr>
          <w:rFonts w:ascii="Calibri" w:cs="Calibri" w:eastAsia="Calibri" w:hAnsi="Calibri"/>
          <w:b/>
          <w:bCs/>
          <w:color w:val="003366"/>
          <w:sz w:val="23"/>
          <w:szCs w:val="23"/>
        </w:rPr>
        <w:t xml:space="preserve">Sprachassistenten</w:t>
      </w:r>
    </w:p>
    <w:p>
      <w:pPr>
        <w:pStyle w:val="ListParagraph"/>
        <w:numPr>
          <w:ilvl w:val="0"/>
          <w:numId w:val="2"/>
        </w:numPr>
        <w:spacing w:after="60"/>
      </w:pPr>
      <w:r>
        <w:rPr>
          <w:rFonts w:ascii="Calibri" w:cs="Calibri" w:eastAsia="Calibri" w:hAnsi="Calibri"/>
          <w:b/>
          <w:bCs/>
          <w:color w:val="1A1A1A"/>
          <w:sz w:val="22"/>
          <w:szCs w:val="22"/>
        </w:rPr>
        <w:t xml:space="preserve"/>
      </w:r>
      <w:r>
        <w:rPr>
          <w:rFonts w:ascii="Calibri" w:cs="Calibri" w:eastAsia="Calibri" w:hAnsi="Calibri"/>
          <w:color w:val="1A1A1A"/>
          <w:sz w:val="22"/>
          <w:szCs w:val="22"/>
        </w:rPr>
        <w:t xml:space="preserve">Amazon Alexa, Google Assistant, Apple Siri (HomeKit), Samsung Bixby.</w:t>
      </w:r>
    </w:p>
    <w:p>
      <w:pPr>
        <w:pStyle w:val="Heading1"/>
      </w:pPr>
      <w:r>
        <w:rPr>
          <w:rFonts w:ascii="Calibri" w:cs="Calibri" w:eastAsia="Calibri" w:hAnsi="Calibri"/>
          <w:b/>
          <w:bCs/>
          <w:color w:val="003366"/>
        </w:rPr>
        <w:t xml:space="preserve">4  Smart Factory – Kernkonzepte</w:t>
      </w:r>
    </w:p>
    <w:p>
      <w:pPr>
        <w:spacing w:after="40" w:before="120"/>
      </w:pPr>
      <w:r>
        <w:rPr>
          <w:rFonts w:ascii="Calibri" w:cs="Calibri" w:eastAsia="Calibri" w:hAnsi="Calibri"/>
          <w:b/>
          <w:bCs/>
          <w:color w:val="003366"/>
          <w:sz w:val="23"/>
          <w:szCs w:val="23"/>
        </w:rPr>
        <w:t xml:space="preserve">Predictive Maintenance</w:t>
      </w:r>
    </w:p>
    <w:p>
      <w:pPr>
        <w:spacing w:after="120"/>
      </w:pPr>
      <w:r>
        <w:rPr>
          <w:rFonts w:ascii="Calibri" w:cs="Calibri" w:eastAsia="Calibri" w:hAnsi="Calibri"/>
          <w:color w:val="1A1A1A"/>
          <w:sz w:val="22"/>
          <w:szCs w:val="22"/>
        </w:rPr>
        <w:t xml:space="preserve">Vorausschauende Wartung nutzt Sensordaten und KI, um den optimalen Wartungszeitpunkt zu ermitteln. Ausfälle werden verhindert, bevor sie entstehen.</w:t>
      </w:r>
    </w:p>
    <w:p>
      <w:pPr>
        <w:pStyle w:val="ListParagraph"/>
        <w:numPr>
          <w:ilvl w:val="0"/>
          <w:numId w:val="2"/>
        </w:numPr>
        <w:spacing w:after="60"/>
      </w:pPr>
      <w:r>
        <w:rPr>
          <w:rFonts w:ascii="Calibri" w:cs="Calibri" w:eastAsia="Calibri" w:hAnsi="Calibri"/>
          <w:b/>
          <w:bCs/>
          <w:color w:val="1A1A1A"/>
          <w:sz w:val="22"/>
          <w:szCs w:val="22"/>
        </w:rPr>
        <w:t xml:space="preserve">Vorteile: </w:t>
      </w:r>
      <w:r>
        <w:rPr>
          <w:rFonts w:ascii="Calibri" w:cs="Calibri" w:eastAsia="Calibri" w:hAnsi="Calibri"/>
          <w:color w:val="1A1A1A"/>
          <w:sz w:val="22"/>
          <w:szCs w:val="22"/>
        </w:rPr>
        <w:t xml:space="preserve">weniger Ausfallzeiten, geringere Kosten, längere Lebensdauer.</w:t>
      </w:r>
    </w:p>
    <w:p>
      <w:pPr>
        <w:spacing w:after="40" w:before="120"/>
      </w:pPr>
      <w:r>
        <w:rPr>
          <w:rFonts w:ascii="Calibri" w:cs="Calibri" w:eastAsia="Calibri" w:hAnsi="Calibri"/>
          <w:b/>
          <w:bCs/>
          <w:color w:val="003366"/>
          <w:sz w:val="23"/>
          <w:szCs w:val="23"/>
        </w:rPr>
        <w:t xml:space="preserve">Digital Twin</w:t>
      </w:r>
    </w:p>
    <w:p>
      <w:pPr>
        <w:spacing w:after="120"/>
      </w:pPr>
      <w:r>
        <w:rPr>
          <w:rFonts w:ascii="Calibri" w:cs="Calibri" w:eastAsia="Calibri" w:hAnsi="Calibri"/>
          <w:color w:val="1A1A1A"/>
          <w:sz w:val="22"/>
          <w:szCs w:val="22"/>
        </w:rPr>
        <w:t xml:space="preserve">Ein digitaler Zwilling ist ein virtuelles Abbild eines physischen Objekts oder Prozesses. Echtzeitdaten ermöglichen Simulation, Optimierung und Analyse.</w:t>
      </w:r>
    </w:p>
    <w:p>
      <w:pPr>
        <w:pStyle w:val="ListParagraph"/>
        <w:numPr>
          <w:ilvl w:val="0"/>
          <w:numId w:val="2"/>
        </w:numPr>
        <w:spacing w:after="60"/>
      </w:pPr>
      <w:r>
        <w:rPr>
          <w:rFonts w:ascii="Calibri" w:cs="Calibri" w:eastAsia="Calibri" w:hAnsi="Calibri"/>
          <w:b/>
          <w:bCs/>
          <w:color w:val="1A1A1A"/>
          <w:sz w:val="22"/>
          <w:szCs w:val="22"/>
        </w:rPr>
        <w:t xml:space="preserve">Einsatz: </w:t>
      </w:r>
      <w:r>
        <w:rPr>
          <w:rFonts w:ascii="Calibri" w:cs="Calibri" w:eastAsia="Calibri" w:hAnsi="Calibri"/>
          <w:color w:val="1A1A1A"/>
          <w:sz w:val="22"/>
          <w:szCs w:val="22"/>
        </w:rPr>
        <w:t xml:space="preserve">Produktentwicklung, Prozessoptimierung, Schulungen.</w:t>
      </w:r>
    </w:p>
    <w:p>
      <w:pPr>
        <w:spacing w:after="40" w:before="120"/>
      </w:pPr>
      <w:r>
        <w:rPr>
          <w:rFonts w:ascii="Calibri" w:cs="Calibri" w:eastAsia="Calibri" w:hAnsi="Calibri"/>
          <w:b/>
          <w:bCs/>
          <w:color w:val="003366"/>
          <w:sz w:val="23"/>
          <w:szCs w:val="23"/>
        </w:rPr>
        <w:t xml:space="preserve">Losgröße 1</w:t>
      </w:r>
    </w:p>
    <w:p>
      <w:pPr>
        <w:spacing w:after="120"/>
      </w:pPr>
      <w:r>
        <w:rPr>
          <w:rFonts w:ascii="Calibri" w:cs="Calibri" w:eastAsia="Calibri" w:hAnsi="Calibri"/>
          <w:color w:val="1A1A1A"/>
          <w:sz w:val="22"/>
          <w:szCs w:val="22"/>
        </w:rPr>
        <w:t xml:space="preserve">Die Fähigkeit, individuelle Produkte zu den Kosten einer Massenproduktion herzustellen. Flexible Fertigungssysteme ermöglichen kundenspezifische Anpassungen.</w:t>
      </w:r>
    </w:p>
    <w:p>
      <w:pPr>
        <w:pStyle w:val="ListParagraph"/>
        <w:numPr>
          <w:ilvl w:val="0"/>
          <w:numId w:val="2"/>
        </w:numPr>
        <w:spacing w:after="60"/>
      </w:pPr>
      <w:r>
        <w:rPr>
          <w:rFonts w:ascii="Calibri" w:cs="Calibri" w:eastAsia="Calibri" w:hAnsi="Calibri"/>
          <w:b/>
          <w:bCs/>
          <w:color w:val="1A1A1A"/>
          <w:sz w:val="22"/>
          <w:szCs w:val="22"/>
        </w:rPr>
        <w:t xml:space="preserve">Beispiel: </w:t>
      </w:r>
      <w:r>
        <w:rPr>
          <w:rFonts w:ascii="Calibri" w:cs="Calibri" w:eastAsia="Calibri" w:hAnsi="Calibri"/>
          <w:color w:val="1A1A1A"/>
          <w:sz w:val="22"/>
          <w:szCs w:val="22"/>
        </w:rPr>
        <w:t xml:space="preserve">individuell konfiguriertes Auto direkt vom Band.</w:t>
      </w:r>
    </w:p>
    <w:p>
      <w:pPr>
        <w:spacing w:after="40" w:before="120"/>
      </w:pPr>
      <w:r>
        <w:rPr>
          <w:rFonts w:ascii="Calibri" w:cs="Calibri" w:eastAsia="Calibri" w:hAnsi="Calibri"/>
          <w:b/>
          <w:bCs/>
          <w:color w:val="003366"/>
          <w:sz w:val="23"/>
          <w:szCs w:val="23"/>
        </w:rPr>
        <w:t xml:space="preserve">Edge Computing</w:t>
      </w:r>
    </w:p>
    <w:p>
      <w:pPr>
        <w:spacing w:after="120"/>
      </w:pPr>
      <w:r>
        <w:rPr>
          <w:rFonts w:ascii="Calibri" w:cs="Calibri" w:eastAsia="Calibri" w:hAnsi="Calibri"/>
          <w:color w:val="1A1A1A"/>
          <w:sz w:val="22"/>
          <w:szCs w:val="22"/>
        </w:rPr>
        <w:t xml:space="preserve">Die Datenverarbeitung erfolgt direkt am Entstehungsort (Edge) statt in der Cloud. Das reduziert Latenz und Bandbreitenbedarf.</w:t>
      </w:r>
    </w:p>
    <w:p>
      <w:pPr>
        <w:pStyle w:val="ListParagraph"/>
        <w:numPr>
          <w:ilvl w:val="0"/>
          <w:numId w:val="2"/>
        </w:numPr>
        <w:spacing w:after="60"/>
      </w:pPr>
      <w:r>
        <w:rPr>
          <w:rFonts w:ascii="Calibri" w:cs="Calibri" w:eastAsia="Calibri" w:hAnsi="Calibri"/>
          <w:b/>
          <w:bCs/>
          <w:color w:val="1A1A1A"/>
          <w:sz w:val="22"/>
          <w:szCs w:val="22"/>
        </w:rPr>
        <w:t xml:space="preserve">Vorteil: </w:t>
      </w:r>
      <w:r>
        <w:rPr>
          <w:rFonts w:ascii="Calibri" w:cs="Calibri" w:eastAsia="Calibri" w:hAnsi="Calibri"/>
          <w:color w:val="1A1A1A"/>
          <w:sz w:val="22"/>
          <w:szCs w:val="22"/>
        </w:rPr>
        <w:t xml:space="preserve">Echtzeitverarbeitung für zeitkritische Anwendungen.</w:t>
      </w:r>
    </w:p>
    <w:p>
      <w:pPr>
        <w:pStyle w:val="Heading1"/>
      </w:pPr>
      <w:r>
        <w:rPr>
          <w:rFonts w:ascii="Calibri" w:cs="Calibri" w:eastAsia="Calibri" w:hAnsi="Calibri"/>
          <w:b/>
          <w:bCs/>
          <w:color w:val="003366"/>
        </w:rPr>
        <w:t xml:space="preserve">5  Anwendungsgebiete Industrie 4.0</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4000"/>
        <w:gridCol w:w="2726"/>
      </w:tblGrid>
      <w:tr>
        <w:tc>
          <w:tcPr>
            <w:tcW w:type="dxa" w:w="23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Bereich</w:t>
            </w:r>
          </w:p>
        </w:tc>
        <w:tc>
          <w:tcPr>
            <w:tcW w:type="dxa" w:w="40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Anwendung</w:t>
            </w:r>
          </w:p>
        </w:tc>
        <w:tc>
          <w:tcPr>
            <w:tcW w:type="dxa" w:w="2726"/>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Technologien</w:t>
            </w:r>
          </w:p>
        </w:tc>
      </w:tr>
      <w:tr>
        <w:tc>
          <w:tcPr>
            <w:tcW w:type="dxa" w:w="23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Produktion</w:t>
            </w:r>
          </w:p>
        </w:tc>
        <w:tc>
          <w:tcPr>
            <w:tcW w:type="dxa" w:w="40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flexible Fertigung, Robotik, CNC-Steuerung</w:t>
            </w:r>
          </w:p>
        </w:tc>
        <w:tc>
          <w:tcPr>
            <w:tcW w:type="dxa" w:w="27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SPS, OPC UA, Cobot</w:t>
            </w:r>
          </w:p>
        </w:tc>
      </w:tr>
      <w:tr>
        <w:tc>
          <w:tcPr>
            <w:tcW w:type="dxa" w:w="23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Logistik</w:t>
            </w:r>
          </w:p>
        </w:tc>
        <w:tc>
          <w:tcPr>
            <w:tcW w:type="dxa" w:w="40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AGV (fahrerlose Transportsysteme), Lagerverwaltung</w:t>
            </w:r>
          </w:p>
        </w:tc>
        <w:tc>
          <w:tcPr>
            <w:tcW w:type="dxa" w:w="27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RFID, GPS, WMS</w:t>
            </w:r>
          </w:p>
        </w:tc>
      </w:tr>
      <w:tr>
        <w:tc>
          <w:tcPr>
            <w:tcW w:type="dxa" w:w="23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Qualitätssicherung</w:t>
            </w:r>
          </w:p>
        </w:tc>
        <w:tc>
          <w:tcPr>
            <w:tcW w:type="dxa" w:w="40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optische Prüfung, SPC, Rückverfolgbarkeit</w:t>
            </w:r>
          </w:p>
        </w:tc>
        <w:tc>
          <w:tcPr>
            <w:tcW w:type="dxa" w:w="27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Machine Vision, KI, Blockchain</w:t>
            </w:r>
          </w:p>
        </w:tc>
      </w:tr>
      <w:tr>
        <w:tc>
          <w:tcPr>
            <w:tcW w:type="dxa" w:w="23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Supply Chain</w:t>
            </w:r>
          </w:p>
        </w:tc>
        <w:tc>
          <w:tcPr>
            <w:tcW w:type="dxa" w:w="40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Echtzeit-Tracking, Bedarfsprognose</w:t>
            </w:r>
          </w:p>
        </w:tc>
        <w:tc>
          <w:tcPr>
            <w:tcW w:type="dxa" w:w="27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ERP, IoT-Sensoren, Big Data</w:t>
            </w:r>
          </w:p>
        </w:tc>
      </w:tr>
      <w:tr>
        <w:tc>
          <w:tcPr>
            <w:tcW w:type="dxa" w:w="23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Energie</w:t>
            </w:r>
          </w:p>
        </w:tc>
        <w:tc>
          <w:tcPr>
            <w:tcW w:type="dxa" w:w="40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Lastmanagement, Smart-Grid-Integration</w:t>
            </w:r>
          </w:p>
        </w:tc>
        <w:tc>
          <w:tcPr>
            <w:tcW w:type="dxa" w:w="27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Smart Meter, SCADA</w:t>
            </w:r>
          </w:p>
        </w:tc>
      </w:tr>
    </w:tbl>
    <w:p>
      <w:pPr>
        <w:pStyle w:val="Heading1"/>
      </w:pPr>
      <w:r>
        <w:rPr>
          <w:rFonts w:ascii="Calibri" w:cs="Calibri" w:eastAsia="Calibri" w:hAnsi="Calibri"/>
          <w:b/>
          <w:bCs/>
          <w:color w:val="003366"/>
        </w:rPr>
        <w:t xml:space="preserve">6  Automotive – Einsatzgebiete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2700"/>
        <w:gridCol w:w="3826"/>
      </w:tblGrid>
      <w:tr>
        <w:tc>
          <w:tcPr>
            <w:tcW w:type="dxa" w:w="25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Bereich</w:t>
            </w:r>
          </w:p>
        </w:tc>
        <w:tc>
          <w:tcPr>
            <w:tcW w:type="dxa" w:w="27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Technologie</w:t>
            </w:r>
          </w:p>
        </w:tc>
        <w:tc>
          <w:tcPr>
            <w:tcW w:type="dxa" w:w="3826"/>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Beschreibung</w:t>
            </w:r>
          </w:p>
        </w:tc>
      </w:tr>
      <w:tr>
        <w:tc>
          <w:tcPr>
            <w:tcW w:type="dxa" w:w="25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Fahrassistenz (ADAS)</w:t>
            </w:r>
          </w:p>
        </w:tc>
        <w:tc>
          <w:tcPr>
            <w:tcW w:type="dxa" w:w="2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Radar, Lidar, Kamera</w:t>
            </w:r>
          </w:p>
        </w:tc>
        <w:tc>
          <w:tcPr>
            <w:tcW w:type="dxa" w:w="38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Spurhalte-, Abstands- und Notbremsassistent</w:t>
            </w:r>
          </w:p>
        </w:tc>
      </w:tr>
      <w:tr>
        <w:tc>
          <w:tcPr>
            <w:tcW w:type="dxa" w:w="25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Autonomes Fahren</w:t>
            </w:r>
          </w:p>
        </w:tc>
        <w:tc>
          <w:tcPr>
            <w:tcW w:type="dxa" w:w="2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KI, Sensorfusion, HD-Maps</w:t>
            </w:r>
          </w:p>
        </w:tc>
        <w:tc>
          <w:tcPr>
            <w:tcW w:type="dxa" w:w="38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SAE-Level 0–5</w:t>
            </w:r>
          </w:p>
        </w:tc>
      </w:tr>
      <w:tr>
        <w:tc>
          <w:tcPr>
            <w:tcW w:type="dxa" w:w="25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V2X-Kommunikation</w:t>
            </w:r>
          </w:p>
        </w:tc>
        <w:tc>
          <w:tcPr>
            <w:tcW w:type="dxa" w:w="2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5G, DSRC, C-V2X</w:t>
            </w:r>
          </w:p>
        </w:tc>
        <w:tc>
          <w:tcPr>
            <w:tcW w:type="dxa" w:w="38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Vehicle-to-Everything: Fahrzeug ↔ Infrastruktur/Fahrzeuge</w:t>
            </w:r>
          </w:p>
        </w:tc>
      </w:tr>
      <w:tr>
        <w:tc>
          <w:tcPr>
            <w:tcW w:type="dxa" w:w="25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Infotainment</w:t>
            </w:r>
          </w:p>
        </w:tc>
        <w:tc>
          <w:tcPr>
            <w:tcW w:type="dxa" w:w="2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Android Auto, CarPlay</w:t>
            </w:r>
          </w:p>
        </w:tc>
        <w:tc>
          <w:tcPr>
            <w:tcW w:type="dxa" w:w="38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Navigation, Streaming, Sprachsteuerung</w:t>
            </w:r>
          </w:p>
        </w:tc>
      </w:tr>
      <w:tr>
        <w:tc>
          <w:tcPr>
            <w:tcW w:type="dxa" w:w="25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Telematik</w:t>
            </w:r>
          </w:p>
        </w:tc>
        <w:tc>
          <w:tcPr>
            <w:tcW w:type="dxa" w:w="2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GPS, OBD-II, eSIM</w:t>
            </w:r>
          </w:p>
        </w:tc>
        <w:tc>
          <w:tcPr>
            <w:tcW w:type="dxa" w:w="38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Flottenmanagement, Diebstahlschutz, Remote-Diagnose</w:t>
            </w:r>
          </w:p>
        </w:tc>
      </w:tr>
      <w:tr>
        <w:tc>
          <w:tcPr>
            <w:tcW w:type="dxa" w:w="25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OTA-Updates</w:t>
            </w:r>
          </w:p>
        </w:tc>
        <w:tc>
          <w:tcPr>
            <w:tcW w:type="dxa" w:w="2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Mobilfunk, WLAN</w:t>
            </w:r>
          </w:p>
        </w:tc>
        <w:tc>
          <w:tcPr>
            <w:tcW w:type="dxa" w:w="38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Software-Updates „Over-the-Air“ ohne Werkstatt</w:t>
            </w:r>
          </w:p>
        </w:tc>
      </w:tr>
    </w:tbl>
    <w:p>
      <w:pPr>
        <w:spacing w:after="120"/>
      </w:pPr>
      <w:r>
        <w:rPr>
          <w:rFonts w:ascii="Calibri" w:cs="Calibri" w:eastAsia="Calibri" w:hAnsi="Calibri"/>
          <w:b/>
          <w:bCs/>
          <w:color w:val="0066AA"/>
          <w:sz w:val="22"/>
          <w:szCs w:val="22"/>
        </w:rPr>
        <w:t xml:space="preserve">SAE-Automatisierungsstufen: </w:t>
      </w:r>
      <w:r>
        <w:rPr>
          <w:rFonts w:ascii="Calibri" w:cs="Calibri" w:eastAsia="Calibri" w:hAnsi="Calibri"/>
          <w:color w:val="1A1A1A"/>
          <w:sz w:val="22"/>
          <w:szCs w:val="22"/>
        </w:rPr>
        <w:t xml:space="preserve">Level 0 (keine) · 1 (assistiert, z. B. Tempomat) · 2 (teilautomatisiert, z. B. Autopilot) · 3 (bedingt automatisiert) · 4 (hochautomatisiert) · 5 (vollautomatisiert, kein Fahrer nötig).</w:t>
      </w:r>
    </w:p>
    <w:p>
      <w:pPr>
        <w:spacing w:after="120"/>
      </w:pPr>
      <w:r>
        <w:rPr>
          <w:rFonts w:ascii="Calibri" w:cs="Calibri" w:eastAsia="Calibri" w:hAnsi="Calibri"/>
          <w:b/>
          <w:bCs/>
          <w:color w:val="F0A500"/>
          <w:sz w:val="22"/>
          <w:szCs w:val="22"/>
        </w:rPr>
        <w:t xml:space="preserve">Hinweis – warum die Stufen oft unterschiedlich benannt werden: </w:t>
      </w:r>
      <w:r>
        <w:rPr>
          <w:rFonts w:ascii="Calibri" w:cs="Calibri" w:eastAsia="Calibri" w:hAnsi="Calibri"/>
          <w:color w:val="1A1A1A"/>
          <w:sz w:val="22"/>
          <w:szCs w:val="22"/>
        </w:rPr>
        <w:t xml:space="preserve">Maßgeblich ist die SAE J3016 mit sechs Leveln (0–5). Abweichende Bezeichnungen auf vielen Webseiten stammen aus dem älteren BASt-Modell von 2012 (nur fünf Stufen, ohne Level 5) sowie aus der vereinfachten BASt-Nutzersicht (assistiert bis Level 2, automatisiert ab Level 3, autonom = Level 5). Für Unterricht und Prüfung gilt die SAE-J3016-Einteilung.</w:t>
      </w:r>
    </w:p>
    <w:p>
      <w:pPr>
        <w:pStyle w:val="Heading1"/>
      </w:pPr>
      <w:r>
        <w:rPr>
          <w:rFonts w:ascii="Calibri" w:cs="Calibri" w:eastAsia="Calibri" w:hAnsi="Calibri"/>
          <w:b/>
          <w:bCs/>
          <w:color w:val="003366"/>
        </w:rPr>
        <w:t xml:space="preserve">7  VR, AR und MR</w:t>
      </w:r>
    </w:p>
    <w:p>
      <w:pPr>
        <w:spacing w:after="40" w:before="120"/>
      </w:pPr>
      <w:r>
        <w:rPr>
          <w:rFonts w:ascii="Calibri" w:cs="Calibri" w:eastAsia="Calibri" w:hAnsi="Calibri"/>
          <w:b/>
          <w:bCs/>
          <w:color w:val="003366"/>
          <w:sz w:val="23"/>
          <w:szCs w:val="23"/>
        </w:rPr>
        <w:t xml:space="preserve">VR – Virtual Reality</w:t>
      </w:r>
    </w:p>
    <w:p>
      <w:pPr>
        <w:spacing w:after="120"/>
      </w:pPr>
      <w:r>
        <w:rPr>
          <w:rFonts w:ascii="Calibri" w:cs="Calibri" w:eastAsia="Calibri" w:hAnsi="Calibri"/>
          <w:color w:val="1A1A1A"/>
          <w:sz w:val="22"/>
          <w:szCs w:val="22"/>
        </w:rPr>
        <w:t xml:space="preserve">Vollständig computergenerierte Umgebung; der Nutzer ist von der realen Welt abgeschottet. Ein Head-Mounted Display (HMD) ermöglicht 360°-Immersion.</w:t>
      </w:r>
    </w:p>
    <w:p>
      <w:pPr>
        <w:pStyle w:val="ListParagraph"/>
        <w:numPr>
          <w:ilvl w:val="0"/>
          <w:numId w:val="2"/>
        </w:numPr>
        <w:spacing w:after="60"/>
      </w:pPr>
      <w:r>
        <w:rPr>
          <w:rFonts w:ascii="Calibri" w:cs="Calibri" w:eastAsia="Calibri" w:hAnsi="Calibri"/>
          <w:b/>
          <w:bCs/>
          <w:color w:val="1A1A1A"/>
          <w:sz w:val="22"/>
          <w:szCs w:val="22"/>
        </w:rPr>
        <w:t xml:space="preserve">Anwendungen: </w:t>
      </w:r>
      <w:r>
        <w:rPr>
          <w:rFonts w:ascii="Calibri" w:cs="Calibri" w:eastAsia="Calibri" w:hAnsi="Calibri"/>
          <w:color w:val="1A1A1A"/>
          <w:sz w:val="22"/>
          <w:szCs w:val="22"/>
        </w:rPr>
        <w:t xml:space="preserve">Gaming, Simulationen, Schulungen, Architekturvisualisierung, Therapie.</w:t>
      </w:r>
    </w:p>
    <w:p>
      <w:pPr>
        <w:spacing w:after="40" w:before="120"/>
      </w:pPr>
      <w:r>
        <w:rPr>
          <w:rFonts w:ascii="Calibri" w:cs="Calibri" w:eastAsia="Calibri" w:hAnsi="Calibri"/>
          <w:b/>
          <w:bCs/>
          <w:color w:val="003366"/>
          <w:sz w:val="23"/>
          <w:szCs w:val="23"/>
        </w:rPr>
        <w:t xml:space="preserve">AR – Augmented Reality</w:t>
      </w:r>
    </w:p>
    <w:p>
      <w:pPr>
        <w:spacing w:after="120"/>
      </w:pPr>
      <w:r>
        <w:rPr>
          <w:rFonts w:ascii="Calibri" w:cs="Calibri" w:eastAsia="Calibri" w:hAnsi="Calibri"/>
          <w:color w:val="1A1A1A"/>
          <w:sz w:val="22"/>
          <w:szCs w:val="22"/>
        </w:rPr>
        <w:t xml:space="preserve">Digitale Inhalte überlagern die reale Welt; der Nutzer bleibt in seiner Umgebung. Anzeige über Smartphone, Tablet oder AR-Brille (marker-basiert oder markerlos).</w:t>
      </w:r>
    </w:p>
    <w:p>
      <w:pPr>
        <w:pStyle w:val="ListParagraph"/>
        <w:numPr>
          <w:ilvl w:val="0"/>
          <w:numId w:val="2"/>
        </w:numPr>
        <w:spacing w:after="60"/>
      </w:pPr>
      <w:r>
        <w:rPr>
          <w:rFonts w:ascii="Calibri" w:cs="Calibri" w:eastAsia="Calibri" w:hAnsi="Calibri"/>
          <w:b/>
          <w:bCs/>
          <w:color w:val="1A1A1A"/>
          <w:sz w:val="22"/>
          <w:szCs w:val="22"/>
        </w:rPr>
        <w:t xml:space="preserve">Anwendungen: </w:t>
      </w:r>
      <w:r>
        <w:rPr>
          <w:rFonts w:ascii="Calibri" w:cs="Calibri" w:eastAsia="Calibri" w:hAnsi="Calibri"/>
          <w:color w:val="1A1A1A"/>
          <w:sz w:val="22"/>
          <w:szCs w:val="22"/>
        </w:rPr>
        <w:t xml:space="preserve">Wartungsanleitungen, Navigation, Produktvisualisierung, Medizin, Pokémon Go.</w:t>
      </w:r>
    </w:p>
    <w:p>
      <w:pPr>
        <w:spacing w:after="40" w:before="120"/>
      </w:pPr>
      <w:r>
        <w:rPr>
          <w:rFonts w:ascii="Calibri" w:cs="Calibri" w:eastAsia="Calibri" w:hAnsi="Calibri"/>
          <w:b/>
          <w:bCs/>
          <w:color w:val="003366"/>
          <w:sz w:val="23"/>
          <w:szCs w:val="23"/>
        </w:rPr>
        <w:t xml:space="preserve">MR – Mixed Reality</w:t>
      </w:r>
    </w:p>
    <w:p>
      <w:pPr>
        <w:spacing w:after="120"/>
      </w:pPr>
      <w:r>
        <w:rPr>
          <w:rFonts w:ascii="Calibri" w:cs="Calibri" w:eastAsia="Calibri" w:hAnsi="Calibri"/>
          <w:color w:val="1A1A1A"/>
          <w:sz w:val="22"/>
          <w:szCs w:val="22"/>
        </w:rPr>
        <w:t xml:space="preserve">Kombination aus VR und AR: virtuelle Objekte interagieren mit der realen Welt, eine Umgebungserkennung ist notwendig (z. B. Microsoft HoloLens).</w:t>
      </w:r>
    </w:p>
    <w:p>
      <w:pPr>
        <w:pStyle w:val="ListParagraph"/>
        <w:numPr>
          <w:ilvl w:val="0"/>
          <w:numId w:val="2"/>
        </w:numPr>
        <w:spacing w:after="60"/>
      </w:pPr>
      <w:r>
        <w:rPr>
          <w:rFonts w:ascii="Calibri" w:cs="Calibri" w:eastAsia="Calibri" w:hAnsi="Calibri"/>
          <w:b/>
          <w:bCs/>
          <w:color w:val="1A1A1A"/>
          <w:sz w:val="22"/>
          <w:szCs w:val="22"/>
        </w:rPr>
        <w:t xml:space="preserve">Anwendungen: </w:t>
      </w:r>
      <w:r>
        <w:rPr>
          <w:rFonts w:ascii="Calibri" w:cs="Calibri" w:eastAsia="Calibri" w:hAnsi="Calibri"/>
          <w:color w:val="1A1A1A"/>
          <w:sz w:val="22"/>
          <w:szCs w:val="22"/>
        </w:rPr>
        <w:t xml:space="preserve">Industriedesign, kollaboratives Arbeiten, medizinische Planung.</w:t>
      </w:r>
    </w:p>
    <w:p>
      <w:pPr>
        <w:pStyle w:val="Heading1"/>
      </w:pPr>
      <w:r>
        <w:rPr>
          <w:rFonts w:ascii="Calibri" w:cs="Calibri" w:eastAsia="Calibri" w:hAnsi="Calibri"/>
          <w:b/>
          <w:bCs/>
          <w:color w:val="003366"/>
        </w:rPr>
        <w:t xml:space="preserve">8  Industrielle VR/AR-Anwendungen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363"/>
        <w:gridCol w:w="3363"/>
      </w:tblGrid>
      <w:tr>
        <w:tc>
          <w:tcPr>
            <w:tcW w:type="dxa" w:w="23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Einsatzbereich</w:t>
            </w:r>
          </w:p>
        </w:tc>
        <w:tc>
          <w:tcPr>
            <w:tcW w:type="dxa" w:w="3363"/>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VR</w:t>
            </w:r>
          </w:p>
        </w:tc>
        <w:tc>
          <w:tcPr>
            <w:tcW w:type="dxa" w:w="3363"/>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AR</w:t>
            </w:r>
          </w:p>
        </w:tc>
      </w:tr>
      <w:tr>
        <w:tc>
          <w:tcPr>
            <w:tcW w:type="dxa" w:w="23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Schulung</w:t>
            </w:r>
          </w:p>
        </w:tc>
        <w:tc>
          <w:tcPr>
            <w:tcW w:type="dxa" w:w="3363"/>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gefahrlose Simulation gefährlicher Situationen</w:t>
            </w:r>
          </w:p>
        </w:tc>
        <w:tc>
          <w:tcPr>
            <w:tcW w:type="dxa" w:w="3363"/>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Schritt-für-Schritt-Anleitungen vor Ort</w:t>
            </w:r>
          </w:p>
        </w:tc>
      </w:tr>
      <w:tr>
        <w:tc>
          <w:tcPr>
            <w:tcW w:type="dxa" w:w="23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Wartung</w:t>
            </w:r>
          </w:p>
        </w:tc>
        <w:tc>
          <w:tcPr>
            <w:tcW w:type="dxa" w:w="3363"/>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virtuelle Übung komplexer Reparaturen</w:t>
            </w:r>
          </w:p>
        </w:tc>
        <w:tc>
          <w:tcPr>
            <w:tcW w:type="dxa" w:w="3363"/>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Einblendung von Bauteilen, Anleitungen, Sensorwerten</w:t>
            </w:r>
          </w:p>
        </w:tc>
      </w:tr>
      <w:tr>
        <w:tc>
          <w:tcPr>
            <w:tcW w:type="dxa" w:w="23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Design</w:t>
            </w:r>
          </w:p>
        </w:tc>
        <w:tc>
          <w:tcPr>
            <w:tcW w:type="dxa" w:w="3363"/>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immersive Prototypenbetrachtung</w:t>
            </w:r>
          </w:p>
        </w:tc>
        <w:tc>
          <w:tcPr>
            <w:tcW w:type="dxa" w:w="3363"/>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virtuelle Möbel im echten Raum platzieren</w:t>
            </w:r>
          </w:p>
        </w:tc>
      </w:tr>
      <w:tr>
        <w:tc>
          <w:tcPr>
            <w:tcW w:type="dxa" w:w="23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Qualitätskontrolle</w:t>
            </w:r>
          </w:p>
        </w:tc>
        <w:tc>
          <w:tcPr>
            <w:tcW w:type="dxa" w:w="3363"/>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Vergleich Soll/Ist im virtuellen Raum</w:t>
            </w:r>
          </w:p>
        </w:tc>
        <w:tc>
          <w:tcPr>
            <w:tcW w:type="dxa" w:w="3363"/>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Überlagerung von CAD-Daten auf reales Bauteil</w:t>
            </w:r>
          </w:p>
        </w:tc>
      </w:tr>
    </w:tbl>
    <w:p>
      <w:pPr>
        <w:pStyle w:val="Heading1"/>
      </w:pPr>
      <w:r>
        <w:rPr>
          <w:rFonts w:ascii="Calibri" w:cs="Calibri" w:eastAsia="Calibri" w:hAnsi="Calibri"/>
          <w:b/>
          <w:bCs/>
          <w:color w:val="003366"/>
        </w:rPr>
        <w:t xml:space="preserve">9  Praxisbausteine: IoT in Packet Tracer</w:t>
      </w:r>
    </w:p>
    <w:p>
      <w:pPr>
        <w:spacing w:after="120"/>
      </w:pPr>
      <w:r>
        <w:rPr>
          <w:rFonts w:ascii="Calibri" w:cs="Calibri" w:eastAsia="Calibri" w:hAnsi="Calibri"/>
          <w:color w:val="1A1A1A"/>
          <w:sz w:val="22"/>
          <w:szCs w:val="22"/>
        </w:rPr>
        <w:t xml:space="preserve">Im Packet-Tracer-Leittext bauen Sie ein Smart-Home-Netz. Diese Komponenten verwenden Sie konkret:</w:t>
      </w:r>
    </w:p>
    <w:p>
      <w:pPr>
        <w:spacing w:after="40" w:before="120"/>
      </w:pPr>
      <w:r>
        <w:rPr>
          <w:rFonts w:ascii="Calibri" w:cs="Calibri" w:eastAsia="Calibri" w:hAnsi="Calibri"/>
          <w:b/>
          <w:bCs/>
          <w:color w:val="003366"/>
          <w:sz w:val="23"/>
          <w:szCs w:val="23"/>
        </w:rPr>
        <w:t xml:space="preserve">Home Gateway</w:t>
      </w:r>
    </w:p>
    <w:p>
      <w:pPr>
        <w:spacing w:after="120"/>
      </w:pPr>
      <w:r>
        <w:rPr>
          <w:rFonts w:ascii="Calibri" w:cs="Calibri" w:eastAsia="Calibri" w:hAnsi="Calibri"/>
          <w:color w:val="1A1A1A"/>
          <w:sz w:val="22"/>
          <w:szCs w:val="22"/>
        </w:rPr>
        <w:t xml:space="preserve">Simuliertes Smart-Home-Gateway. Es stellt ein WLAN (SSID „HomeGateway“) und DHCP (Adressbereich 192.168.25.x) bereit und dient als Registrierungsstelle für die IoT-Geräte.</w:t>
      </w:r>
    </w:p>
    <w:p>
      <w:pPr>
        <w:spacing w:after="40" w:before="120"/>
      </w:pPr>
      <w:r>
        <w:rPr>
          <w:rFonts w:ascii="Calibri" w:cs="Calibri" w:eastAsia="Calibri" w:hAnsi="Calibri"/>
          <w:b/>
          <w:bCs/>
          <w:color w:val="003366"/>
          <w:sz w:val="23"/>
          <w:szCs w:val="23"/>
        </w:rPr>
        <w:t xml:space="preserve">IoT-Geräte</w:t>
      </w:r>
    </w:p>
    <w:p>
      <w:pPr>
        <w:spacing w:after="120"/>
      </w:pPr>
      <w:r>
        <w:rPr>
          <w:rFonts w:ascii="Calibri" w:cs="Calibri" w:eastAsia="Calibri" w:hAnsi="Calibri"/>
          <w:color w:val="1A1A1A"/>
          <w:sz w:val="22"/>
          <w:szCs w:val="22"/>
        </w:rPr>
        <w:t xml:space="preserve">Aus der Kategorie „Home“ – z. B. Light (Bulb), Fan, Door, Motion Detector, Siren.</w:t>
      </w:r>
    </w:p>
    <w:p>
      <w:pPr>
        <w:pStyle w:val="ListParagraph"/>
        <w:numPr>
          <w:ilvl w:val="0"/>
          <w:numId w:val="2"/>
        </w:numPr>
        <w:spacing w:after="60"/>
      </w:pPr>
      <w:r>
        <w:rPr>
          <w:rFonts w:ascii="Calibri" w:cs="Calibri" w:eastAsia="Calibri" w:hAnsi="Calibri"/>
          <w:b/>
          <w:bCs/>
          <w:color w:val="1A1A1A"/>
          <w:sz w:val="22"/>
          <w:szCs w:val="22"/>
        </w:rPr>
        <w:t xml:space="preserve">Rollen: </w:t>
      </w:r>
      <w:r>
        <w:rPr>
          <w:rFonts w:ascii="Calibri" w:cs="Calibri" w:eastAsia="Calibri" w:hAnsi="Calibri"/>
          <w:color w:val="1A1A1A"/>
          <w:sz w:val="22"/>
          <w:szCs w:val="22"/>
        </w:rPr>
        <w:t xml:space="preserve">Sensoren (Motion Detector) und Aktoren (Light, Siren) – wie in Block 2.</w:t>
      </w:r>
    </w:p>
    <w:p>
      <w:pPr>
        <w:spacing w:after="40" w:before="120"/>
      </w:pPr>
      <w:r>
        <w:rPr>
          <w:rFonts w:ascii="Calibri" w:cs="Calibri" w:eastAsia="Calibri" w:hAnsi="Calibri"/>
          <w:b/>
          <w:bCs/>
          <w:color w:val="003366"/>
          <w:sz w:val="23"/>
          <w:szCs w:val="23"/>
        </w:rPr>
        <w:t xml:space="preserve">IoT-Monitor</w:t>
      </w:r>
    </w:p>
    <w:p>
      <w:pPr>
        <w:spacing w:after="120"/>
      </w:pPr>
      <w:r>
        <w:rPr>
          <w:rFonts w:ascii="Calibri" w:cs="Calibri" w:eastAsia="Calibri" w:hAnsi="Calibri"/>
          <w:color w:val="1A1A1A"/>
          <w:sz w:val="22"/>
          <w:szCs w:val="22"/>
        </w:rPr>
        <w:t xml:space="preserve">Weboberfläche zur Überwachung und Steuerung der registrierten Geräte (Aufruf 192.168.25.1, Standard-Login admin/admin).</w:t>
      </w:r>
    </w:p>
    <w:p>
      <w:pPr>
        <w:pStyle w:val="ListParagraph"/>
        <w:numPr>
          <w:ilvl w:val="0"/>
          <w:numId w:val="2"/>
        </w:numPr>
        <w:spacing w:after="60"/>
      </w:pPr>
      <w:r>
        <w:rPr>
          <w:rFonts w:ascii="Calibri" w:cs="Calibri" w:eastAsia="Calibri" w:hAnsi="Calibri"/>
          <w:b/>
          <w:bCs/>
          <w:color w:val="1A1A1A"/>
          <w:sz w:val="22"/>
          <w:szCs w:val="22"/>
        </w:rPr>
        <w:t xml:space="preserve">Conditions: </w:t>
      </w:r>
      <w:r>
        <w:rPr>
          <w:rFonts w:ascii="Calibri" w:cs="Calibri" w:eastAsia="Calibri" w:hAnsi="Calibri"/>
          <w:color w:val="1A1A1A"/>
          <w:sz w:val="22"/>
          <w:szCs w:val="22"/>
        </w:rPr>
        <w:t xml:space="preserve">Wenn-Dann-Regeln, z. B. „Wenn Bewegung, dann Licht an“ – entspricht der Sensor-Controller-Aktor-Logik.</w:t>
      </w:r>
    </w:p>
    <w:p>
      <w:pPr>
        <w:pStyle w:val="Heading1"/>
      </w:pPr>
      <w:r>
        <w:rPr>
          <w:rFonts w:ascii="Calibri" w:cs="Calibri" w:eastAsia="Calibri" w:hAnsi="Calibri"/>
          <w:b/>
          <w:bCs/>
          <w:color w:val="003366"/>
        </w:rPr>
        <w:t xml:space="preserve">10  Zusammenfassung</w:t>
      </w:r>
    </w:p>
    <w:p>
      <w:pPr>
        <w:pStyle w:val="ListParagraph"/>
        <w:numPr>
          <w:ilvl w:val="0"/>
          <w:numId w:val="2"/>
        </w:numPr>
        <w:spacing w:after="60"/>
      </w:pPr>
      <w:r>
        <w:rPr>
          <w:rFonts w:ascii="Calibri" w:cs="Calibri" w:eastAsia="Calibri" w:hAnsi="Calibri"/>
          <w:color w:val="1A1A1A"/>
          <w:sz w:val="22"/>
          <w:szCs w:val="22"/>
        </w:rPr>
        <w:t xml:space="preserve">Smart Home vernetzt Wohnbereiche über Funkstandards wie ZigBee, Z-Wave und Matter.</w:t>
      </w:r>
    </w:p>
    <w:p>
      <w:pPr>
        <w:pStyle w:val="ListParagraph"/>
        <w:numPr>
          <w:ilvl w:val="0"/>
          <w:numId w:val="2"/>
        </w:numPr>
        <w:spacing w:after="60"/>
      </w:pPr>
      <w:r>
        <w:rPr>
          <w:rFonts w:ascii="Calibri" w:cs="Calibri" w:eastAsia="Calibri" w:hAnsi="Calibri"/>
          <w:color w:val="1A1A1A"/>
          <w:sz w:val="22"/>
          <w:szCs w:val="22"/>
        </w:rPr>
        <w:t xml:space="preserve">Die Smart Factory beruht auf Predictive Maintenance, Digital Twin, Losgröße 1 und Edge Computing.</w:t>
      </w:r>
    </w:p>
    <w:p>
      <w:pPr>
        <w:pStyle w:val="ListParagraph"/>
        <w:numPr>
          <w:ilvl w:val="0"/>
          <w:numId w:val="2"/>
        </w:numPr>
        <w:spacing w:after="60"/>
      </w:pPr>
      <w:r>
        <w:rPr>
          <w:rFonts w:ascii="Calibri" w:cs="Calibri" w:eastAsia="Calibri" w:hAnsi="Calibri"/>
          <w:color w:val="1A1A1A"/>
          <w:sz w:val="22"/>
          <w:szCs w:val="22"/>
        </w:rPr>
        <w:t xml:space="preserve">Im Automotive-Bereich beschreiben die SAE-Level 0–5 den Grad der Automatisierung.</w:t>
      </w:r>
    </w:p>
    <w:p>
      <w:pPr>
        <w:pStyle w:val="ListParagraph"/>
        <w:numPr>
          <w:ilvl w:val="0"/>
          <w:numId w:val="2"/>
        </w:numPr>
        <w:spacing w:after="60"/>
      </w:pPr>
      <w:r>
        <w:rPr>
          <w:rFonts w:ascii="Calibri" w:cs="Calibri" w:eastAsia="Calibri" w:hAnsi="Calibri"/>
          <w:color w:val="1A1A1A"/>
          <w:sz w:val="22"/>
          <w:szCs w:val="22"/>
        </w:rPr>
        <w:t xml:space="preserve">VR, AR und MR eröffnen neue Wege für Schulung, Wartung, Design und Qualitätskontrolle.</w:t>
      </w:r>
    </w:p>
    <w:p>
      <w:pPr>
        <w:pStyle w:val="Heading1"/>
      </w:pPr>
      <w:r>
        <w:rPr>
          <w:rFonts w:ascii="Calibri" w:cs="Calibri" w:eastAsia="Calibri" w:hAnsi="Calibri"/>
          <w:b/>
          <w:bCs/>
          <w:color w:val="003366"/>
        </w:rPr>
        <w:t xml:space="preserve">11  Wiederholungsfragen</w:t>
      </w:r>
    </w:p>
    <w:p>
      <w:pPr>
        <w:pStyle w:val="ListParagraph"/>
        <w:numPr>
          <w:ilvl w:val="0"/>
          <w:numId w:val="3"/>
        </w:numPr>
        <w:spacing w:after="80"/>
      </w:pPr>
      <w:r>
        <w:rPr>
          <w:rFonts w:ascii="Calibri" w:cs="Calibri" w:eastAsia="Calibri" w:hAnsi="Calibri"/>
          <w:color w:val="1A1A1A"/>
          <w:sz w:val="22"/>
          <w:szCs w:val="22"/>
        </w:rPr>
        <w:t xml:space="preserve">Nennen Sie vier Smart-Home-Funkstandards und je eine Eigenschaft.</w:t>
      </w:r>
    </w:p>
    <w:p>
      <w:pPr>
        <w:pStyle w:val="ListParagraph"/>
        <w:numPr>
          <w:ilvl w:val="0"/>
          <w:numId w:val="3"/>
        </w:numPr>
        <w:spacing w:after="80"/>
      </w:pPr>
      <w:r>
        <w:rPr>
          <w:rFonts w:ascii="Calibri" w:cs="Calibri" w:eastAsia="Calibri" w:hAnsi="Calibri"/>
          <w:color w:val="1A1A1A"/>
          <w:sz w:val="22"/>
          <w:szCs w:val="22"/>
        </w:rPr>
        <w:t xml:space="preserve">Erklären Sie Predictive Maintenance und den Digital Twin.</w:t>
      </w:r>
    </w:p>
    <w:p>
      <w:pPr>
        <w:pStyle w:val="ListParagraph"/>
        <w:numPr>
          <w:ilvl w:val="0"/>
          <w:numId w:val="3"/>
        </w:numPr>
        <w:spacing w:after="80"/>
      </w:pPr>
      <w:r>
        <w:rPr>
          <w:rFonts w:ascii="Calibri" w:cs="Calibri" w:eastAsia="Calibri" w:hAnsi="Calibri"/>
          <w:color w:val="1A1A1A"/>
          <w:sz w:val="22"/>
          <w:szCs w:val="22"/>
        </w:rPr>
        <w:t xml:space="preserve">Was bedeutet „Losgröße 1“ und wie wird sie technisch möglich?</w:t>
      </w:r>
    </w:p>
    <w:p>
      <w:pPr>
        <w:pStyle w:val="ListParagraph"/>
        <w:numPr>
          <w:ilvl w:val="0"/>
          <w:numId w:val="3"/>
        </w:numPr>
        <w:spacing w:after="80"/>
      </w:pPr>
      <w:r>
        <w:rPr>
          <w:rFonts w:ascii="Calibri" w:cs="Calibri" w:eastAsia="Calibri" w:hAnsi="Calibri"/>
          <w:color w:val="1A1A1A"/>
          <w:sz w:val="22"/>
          <w:szCs w:val="22"/>
        </w:rPr>
        <w:t xml:space="preserve">Ordnen Sie die SAE-Level 1, 3 und 5 mit je einem Beispiel ein.</w:t>
      </w:r>
    </w:p>
    <w:p>
      <w:pPr>
        <w:pStyle w:val="ListParagraph"/>
        <w:numPr>
          <w:ilvl w:val="0"/>
          <w:numId w:val="3"/>
        </w:numPr>
        <w:spacing w:after="80"/>
      </w:pPr>
      <w:r>
        <w:rPr>
          <w:rFonts w:ascii="Calibri" w:cs="Calibri" w:eastAsia="Calibri" w:hAnsi="Calibri"/>
          <w:color w:val="1A1A1A"/>
          <w:sz w:val="22"/>
          <w:szCs w:val="22"/>
        </w:rPr>
        <w:t xml:space="preserve">Worin unterscheiden sich VR, AR und MR? Nennen Sie je eine industrielle Anwendung.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6"/>
      </w:pBdr>
      <w:tabs>
        <w:tab w:val="center" w:pos="4513"/>
        <w:tab w:val="right" w:pos="9026"/>
      </w:tabs>
    </w:pPr>
    <w:r>
      <w:rPr>
        <w:rFonts w:ascii="Calibri" w:cs="Calibri" w:eastAsia="Calibri" w:hAnsi="Calibri"/>
        <w:color w:val="5A6470"/>
        <w:sz w:val="16"/>
        <w:szCs w:val="16"/>
      </w:rPr>
      <w:t xml:space="preserve">[Vor- und Nachname]</w:t>
    </w:r>
    <w:r>
      <w:rPr>
        <w:rFonts w:ascii="Calibri" w:cs="Calibri" w:eastAsia="Calibri" w:hAnsi="Calibri"/>
        <w:color w:val="5A6470"/>
        <w:sz w:val="16"/>
        <w:szCs w:val="16"/>
      </w:rPr>
      <w:t xml:space="preserve">	Modul H – Block 4: Anwendungsfelder</w:t>
    </w:r>
    <w:r>
      <w:rPr>
        <w:rFonts w:ascii="Calibri" w:cs="Calibri" w:eastAsia="Calibri" w:hAnsi="Calibri"/>
        <w:color w:val="5A6470"/>
        <w:sz w:val="16"/>
        <w:szCs w:val="16"/>
      </w:rPr>
      <w:t xml:space="preserve">	TT.MM.JJJJ   |   Seite </w:t>
    </w:r>
    <w:r>
      <w:rPr>
        <w:rFonts w:ascii="Calibri" w:cs="Calibri" w:eastAsia="Calibri" w:hAnsi="Calibri"/>
        <w:color w:val="5A6470"/>
        <w:sz w:val="16"/>
        <w:szCs w:val="16"/>
      </w:rPr>
      <w:fldChar w:fldCharType="begin"/>
      <w:instrText xml:space="preserve">PAGE</w:instrText>
      <w:fldChar w:fldCharType="separate"/>
      <w:fldChar w:fldCharType="end"/>
    </w:r>
    <w:r>
      <w:rPr>
        <w:rFonts w:ascii="Calibri" w:cs="Calibri" w:eastAsia="Calibri" w:hAnsi="Calibri"/>
        <w:color w:val="5A6470"/>
        <w:sz w:val="16"/>
        <w:szCs w:val="16"/>
      </w:rPr>
      <w:t xml:space="preserve"> von </w:t>
    </w:r>
    <w:r>
      <w:rPr>
        <w:rFonts w:ascii="Calibri" w:cs="Calibri" w:eastAsia="Calibri" w:hAnsi="Calibri"/>
        <w:color w:val="5A647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460" w:hanging="260"/>
      </w:pPr>
    </w:lvl>
  </w:abstractNum>
  <w:abstractNum w:abstractNumId="4" w15:restartNumberingAfterBreak="0">
    <w:multiLevelType w:val="hybridMultilevel"/>
    <w:lvl w:ilvl="0" w15:tentative="1">
      <w:start w:val="1"/>
      <w:numFmt w:val="decimal"/>
      <w:lvlText w:val="%1."/>
      <w:lvlJc w:val="left"/>
      <w:pPr>
        <w:ind w:left="460" w:hanging="260"/>
      </w:pPr>
    </w:lvl>
  </w:abstractNum>
  <w:abstractNum w:abstractNumId="5" w15:restartNumberingAfterBreak="0">
    <w:multiLevelType w:val="hybridMultilevel"/>
    <w:lvl w:ilvl="0" w15:tentative="1">
      <w:start w:val="1"/>
      <w:numFmt w:val="decimal"/>
      <w:lvlText w:val="%1."/>
      <w:lvlJc w:val="left"/>
      <w:pPr>
        <w:ind w:left="460" w:hanging="260"/>
      </w:pPr>
    </w:lvl>
  </w:abstractNum>
  <w:abstractNum w:abstractNumId="6" w15:restartNumberingAfterBreak="0">
    <w:multiLevelType w:val="hybridMultilevel"/>
    <w:lvl w:ilvl="0" w15:tentative="1">
      <w:start w:val="1"/>
      <w:numFmt w:val="decimal"/>
      <w:lvlText w:val="%1."/>
      <w:lvlJc w:val="left"/>
      <w:pPr>
        <w:ind w:left="460" w:hanging="260"/>
      </w:pPr>
    </w:lvl>
  </w:abstractNum>
  <w:abstractNum w:abstractNumId="7" w15:restartNumberingAfterBreak="0">
    <w:multiLevelType w:val="hybridMultilevel"/>
    <w:lvl w:ilvl="0" w15:tentative="1">
      <w:start w:val="1"/>
      <w:numFmt w:val="decimal"/>
      <w:lvlText w:val="%1."/>
      <w:lvlJc w:val="left"/>
      <w:pPr>
        <w:ind w:left="460" w:hanging="260"/>
      </w:pPr>
    </w:lvl>
  </w:abstractNum>
  <w:abstractNum w:abstractNumId="8" w15:restartNumberingAfterBreak="0">
    <w:multiLevelType w:val="hybridMultilevel"/>
    <w:lvl w:ilvl="0" w15:tentative="1">
      <w:start w:val="1"/>
      <w:numFmt w:val="decimal"/>
      <w:lvlText w:val="%1."/>
      <w:lvlJc w:val="left"/>
      <w:pPr>
        <w:ind w:left="4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60"/>
      <w:outlineLvl w:val="0"/>
    </w:pPr>
    <w:rPr>
      <w:rFonts w:ascii="Calibri" w:cs="Calibri" w:eastAsia="Calibri" w:hAnsi="Calibri"/>
      <w:b/>
      <w:bCs/>
      <w:color w:val="003366"/>
      <w:sz w:val="28"/>
      <w:szCs w:val="28"/>
    </w:rPr>
  </w:style>
  <w:style w:type="paragraph" w:styleId="Heading2">
    <w:name w:val="Heading 2"/>
    <w:basedOn w:val="Normal"/>
    <w:next w:val="Normal"/>
    <w:qFormat/>
    <w:pPr>
      <w:spacing w:after="80" w:before="160"/>
      <w:outlineLvl w:val="1"/>
    </w:pPr>
    <w:rPr>
      <w:rFonts w:ascii="Calibri" w:cs="Calibri" w:eastAsia="Calibri" w:hAnsi="Calibri"/>
      <w:b/>
      <w:bCs/>
      <w:color w:val="0066A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2026-06-05T09:39:55.625Z</dcterms:created>
  <dcterms:modified xsi:type="dcterms:W3CDTF">2026-06-05T09:39:55.637Z</dcterms:modified>
</cp:coreProperties>
</file>

<file path=docProps/custom.xml><?xml version="1.0" encoding="utf-8"?>
<Properties xmlns="http://schemas.openxmlformats.org/officeDocument/2006/custom-properties" xmlns:vt="http://schemas.openxmlformats.org/officeDocument/2006/docPropsVTypes"/>
</file>