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F0A500"/>
          <w:spacing w:val="30"/>
          <w:sz w:val="20"/>
          <w:szCs w:val="20"/>
        </w:rPr>
        <w:t xml:space="preserve">MODUL H  ·  HANDOUT</w:t>
      </w:r>
    </w:p>
    <w:p>
      <w:pPr>
        <w:pBdr>
          <w:bottom w:val="single" w:color="003366" w:sz="12" w:space="6"/>
        </w:pBdr>
        <w:spacing w:after="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Block 3: Kommunikation &amp; Protokolle</w:t>
      </w:r>
    </w:p>
    <w:p>
      <w:pPr>
        <w:spacing w:after="240"/>
      </w:pPr>
      <w:r>
        <w:rPr>
          <w:rFonts w:ascii="Calibri" w:cs="Calibri" w:eastAsia="Calibri" w:hAnsi="Calibri"/>
          <w:color w:val="5A6470"/>
          <w:sz w:val="20"/>
          <w:szCs w:val="20"/>
        </w:rPr>
        <w:t xml:space="preserve">Vom OSI-Modell bis MQTT · Fachinformatiker AE / SI – IHK-Prüfungsvorbereitung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1  Einführung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IoT-Geräte müssen zuverlässig, sparsam und oft über unzuverlässige Funkstrecken kommunizieren. Dafür gibt es eine Vielzahl von Protokollen, die unterschiedliche Anforderungen abdecken. Dieser Block ordnet die wichtigsten IoT-Protokolle in das OSI-Modell ein, vergleicht Mobilfunkgenerationen und behandelt MQTT als zentrales Telemetrie-Protokoll im Detail.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Lernziele: 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IoT-Protokolle den OSI-Schichten zuordnen.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Anwendungsprotokolle nach Kommunikationsmuster und Einsatz unterscheiden.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4G/LTE und 5G vergleichen und die 5G-Kategorien erklären.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MQTT mit Pub/Sub-Prinzip, Topics, Wildcards und QoS beschreiben.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2  IoT-Protokolle im OSI-Modell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400"/>
        <w:gridCol w:w="5926"/>
      </w:tblGrid>
      <w:tr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Schicht</w:t>
            </w:r>
          </w:p>
        </w:tc>
        <w:tc>
          <w:tcPr>
            <w:tcW w:type="dxa" w:w="59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Beispiele</w:t>
            </w:r>
          </w:p>
        </w:tc>
      </w:tr>
      <w:tr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7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Anwendung</w:t>
            </w:r>
          </w:p>
        </w:tc>
        <w:tc>
          <w:tcPr>
            <w:tcW w:type="dxa" w:w="59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MQTT, CoAP, HTTP/REST, AMQP, XMPP, OPC UA</w:t>
            </w:r>
          </w:p>
        </w:tc>
      </w:tr>
      <w:tr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6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Darstellung</w:t>
            </w:r>
          </w:p>
        </w:tc>
        <w:tc>
          <w:tcPr>
            <w:tcW w:type="dxa" w:w="59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JSON, XML, Protobuf, TLS/SSL</w:t>
            </w:r>
          </w:p>
        </w:tc>
      </w:tr>
      <w:tr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5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Sitzung</w:t>
            </w:r>
          </w:p>
        </w:tc>
        <w:tc>
          <w:tcPr>
            <w:tcW w:type="dxa" w:w="59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MQTT Sessions, WebSocket</w:t>
            </w:r>
          </w:p>
        </w:tc>
      </w:tr>
      <w:tr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4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Transport</w:t>
            </w:r>
          </w:p>
        </w:tc>
        <w:tc>
          <w:tcPr>
            <w:tcW w:type="dxa" w:w="59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TCP, UDP, DTLS</w:t>
            </w:r>
          </w:p>
        </w:tc>
      </w:tr>
      <w:tr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3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Vermittlung</w:t>
            </w:r>
          </w:p>
        </w:tc>
        <w:tc>
          <w:tcPr>
            <w:tcW w:type="dxa" w:w="59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IPv4, IPv6, 6LoWPAN</w:t>
            </w:r>
          </w:p>
        </w:tc>
      </w:tr>
      <w:tr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2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Sicherung</w:t>
            </w:r>
          </w:p>
        </w:tc>
        <w:tc>
          <w:tcPr>
            <w:tcW w:type="dxa" w:w="59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Ethernet, WiFi, BLE, ZigBee, LoRa</w:t>
            </w:r>
          </w:p>
        </w:tc>
      </w:tr>
      <w:tr>
        <w:tc>
          <w:tcPr>
            <w:tcW w:type="dxa" w:w="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Bitübertragung</w:t>
            </w:r>
          </w:p>
        </w:tc>
        <w:tc>
          <w:tcPr>
            <w:tcW w:type="dxa" w:w="59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Kabel, Funk (2,4 GHz, Sub-GHz), NFC</w:t>
            </w:r>
          </w:p>
        </w:tc>
      </w:tr>
    </w:tbl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3  Wichtige Anwendungsprotokolle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500"/>
        <w:gridCol w:w="2400"/>
        <w:gridCol w:w="3426"/>
      </w:tblGrid>
      <w:tr>
        <w:tc>
          <w:tcPr>
            <w:tcW w:type="dxa" w:w="1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Protokoll</w:t>
            </w:r>
          </w:p>
        </w:tc>
        <w:tc>
          <w:tcPr>
            <w:tcW w:type="dxa" w:w="1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Transport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Muster</w:t>
            </w:r>
          </w:p>
        </w:tc>
        <w:tc>
          <w:tcPr>
            <w:tcW w:type="dxa" w:w="34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Einsatz</w:t>
            </w:r>
          </w:p>
        </w:tc>
      </w:tr>
      <w:tr>
        <w:tc>
          <w:tcPr>
            <w:tcW w:type="dxa" w:w="1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MQTT</w:t>
            </w:r>
          </w:p>
        </w:tc>
        <w:tc>
          <w:tcPr>
            <w:tcW w:type="dxa" w:w="1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TCP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Publish/Subscribe</w:t>
            </w:r>
          </w:p>
        </w:tc>
        <w:tc>
          <w:tcPr>
            <w:tcW w:type="dxa" w:w="34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IoT, M2M, Telemetrie (sehr leichtgewichtig)</w:t>
            </w:r>
          </w:p>
        </w:tc>
      </w:tr>
      <w:tr>
        <w:tc>
          <w:tcPr>
            <w:tcW w:type="dxa" w:w="1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CoAP</w:t>
            </w:r>
          </w:p>
        </w:tc>
        <w:tc>
          <w:tcPr>
            <w:tcW w:type="dxa" w:w="1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UDP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Request/Response (REST-ähnlich)</w:t>
            </w:r>
          </w:p>
        </w:tc>
        <w:tc>
          <w:tcPr>
            <w:tcW w:type="dxa" w:w="34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ressourcenarme Geräte, Smart Home</w:t>
            </w:r>
          </w:p>
        </w:tc>
      </w:tr>
      <w:tr>
        <w:tc>
          <w:tcPr>
            <w:tcW w:type="dxa" w:w="1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HTTP/REST</w:t>
            </w:r>
          </w:p>
        </w:tc>
        <w:tc>
          <w:tcPr>
            <w:tcW w:type="dxa" w:w="1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TCP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Request/Response</w:t>
            </w:r>
          </w:p>
        </w:tc>
        <w:tc>
          <w:tcPr>
            <w:tcW w:type="dxa" w:w="34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Web-APIs, Cloud-Anbindung</w:t>
            </w:r>
          </w:p>
        </w:tc>
      </w:tr>
      <w:tr>
        <w:tc>
          <w:tcPr>
            <w:tcW w:type="dxa" w:w="1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AMQP</w:t>
            </w:r>
          </w:p>
        </w:tc>
        <w:tc>
          <w:tcPr>
            <w:tcW w:type="dxa" w:w="1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TCP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Message Queue</w:t>
            </w:r>
          </w:p>
        </w:tc>
        <w:tc>
          <w:tcPr>
            <w:tcW w:type="dxa" w:w="34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Enterprise, zuverlässige Übertragung</w:t>
            </w:r>
          </w:p>
        </w:tc>
      </w:tr>
      <w:tr>
        <w:tc>
          <w:tcPr>
            <w:tcW w:type="dxa" w:w="1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OPC UA</w:t>
            </w:r>
          </w:p>
        </w:tc>
        <w:tc>
          <w:tcPr>
            <w:tcW w:type="dxa" w:w="1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TCP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Client/Server</w:t>
            </w:r>
          </w:p>
        </w:tc>
        <w:tc>
          <w:tcPr>
            <w:tcW w:type="dxa" w:w="34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Industrie 4.0, Maschinenanbindung</w:t>
            </w:r>
          </w:p>
        </w:tc>
      </w:tr>
      <w:tr>
        <w:tc>
          <w:tcPr>
            <w:tcW w:type="dxa" w:w="1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WebSocket</w:t>
            </w:r>
          </w:p>
        </w:tc>
        <w:tc>
          <w:tcPr>
            <w:tcW w:type="dxa" w:w="15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TCP</w:t>
            </w:r>
          </w:p>
        </w:tc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bidirektional</w:t>
            </w:r>
          </w:p>
        </w:tc>
        <w:tc>
          <w:tcPr>
            <w:tcW w:type="dxa" w:w="34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Echtzeit-Web-Anwendungen</w:t>
            </w:r>
          </w:p>
        </w:tc>
      </w:tr>
    </w:tbl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4  Mobilfunk: 4G/LTE vs. 5G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26"/>
        <w:gridCol w:w="3100"/>
        <w:gridCol w:w="3100"/>
      </w:tblGrid>
      <w:tr>
        <w:tc>
          <w:tcPr>
            <w:tcW w:type="dxa" w:w="2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Merkmal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4G/LTE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5G</w:t>
            </w:r>
          </w:p>
        </w:tc>
      </w:tr>
      <w:tr>
        <w:tc>
          <w:tcPr>
            <w:tcW w:type="dxa" w:w="2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Max. Datenrate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bis 1 Gbit/s (theoretisch)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bis 20 Gbit/s (theoretisch)</w:t>
            </w:r>
          </w:p>
        </w:tc>
      </w:tr>
      <w:tr>
        <w:tc>
          <w:tcPr>
            <w:tcW w:type="dxa" w:w="2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Latenz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30–50 ms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1–10 ms</w:t>
            </w:r>
          </w:p>
        </w:tc>
      </w:tr>
      <w:tr>
        <w:tc>
          <w:tcPr>
            <w:tcW w:type="dxa" w:w="2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Geräte pro km²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~100.000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~1.000.000</w:t>
            </w:r>
          </w:p>
        </w:tc>
      </w:tr>
      <w:tr>
        <w:tc>
          <w:tcPr>
            <w:tcW w:type="dxa" w:w="2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Frequenzbänder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700 MHz – 2,6 GHz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Sub-6 GHz + mmWave (26+ GHz)</w:t>
            </w:r>
          </w:p>
        </w:tc>
      </w:tr>
      <w:tr>
        <w:tc>
          <w:tcPr>
            <w:tcW w:type="dxa" w:w="2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Network Slicing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nicht unterstützt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virtuelle Netze je Anwendung</w:t>
            </w:r>
          </w:p>
        </w:tc>
      </w:tr>
      <w:tr>
        <w:tc>
          <w:tcPr>
            <w:tcW w:type="dxa" w:w="2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Energieeffizienz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Basis</w:t>
            </w:r>
          </w:p>
        </w:tc>
        <w:tc>
          <w:tcPr>
            <w:tcW w:type="dxa" w:w="31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bis 90 % effizienter pro Dateneinheit</w:t>
            </w:r>
          </w:p>
        </w:tc>
      </w:tr>
    </w:tbl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5  5G-Anwendungskategorien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eMBB – Enhanced Mobile Broadband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/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Hohe Datenraten für 4K/8K-Streaming und VR/AR-Anwendungen.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URLLC – Ultra Reliable Low Latency Communication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/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Extrem niedrige Latenz für autonomes Fahren, Fernchirurgie und Industrie 4.0.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mMTC – Massive Machine Type Communication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/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Millionen IoT-Geräte (z. B. Smart-City-Sensoren), geringe Datenmengen, lange Batterielaufzeit.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6  MQTT – Message Queuing Telemetry Transport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MQTT ist ein leichtgewichtiges Publish/Subscribe-Protokoll, das speziell für IoT- und M2M-Kommunikation entwickelt wurde. Es eignet sich besonders für Verbindungen mit geringer Bandbreite und unzuverlässige Netzwerke.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Pub/Sub-Architektur: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Publisher (Sensor/Gerät)  → Topic →  Broker (z. B. Mosquitto, HiveMQ)  → Topic →  Subscriber (App/Dashboard). </w:t>
      </w:r>
      <w:r>
        <w:rPr>
          <w:rFonts w:ascii="Calibri" w:cs="Calibri" w:eastAsia="Calibri" w:hAnsi="Calibri"/>
          <w:i/>
          <w:iCs/>
          <w:color w:val="1A1A1A"/>
          <w:sz w:val="22"/>
          <w:szCs w:val="22"/>
        </w:rPr>
        <w:t xml:space="preserve">Publisher und Subscriber kennen sich nicht; sie sind über das Topic beim Broker entkoppelt.</w:t>
      </w:r>
    </w:p>
    <w:p>
      <w:pPr>
        <w:spacing w:after="80" w:before="12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Wichtige Begriffe: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Begriff</w:t>
            </w:r>
          </w:p>
        </w:tc>
        <w:tc>
          <w:tcPr>
            <w:tcW w:type="dxa" w:w="6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Broker</w:t>
            </w:r>
          </w:p>
        </w:tc>
        <w:tc>
          <w:tcPr>
            <w:tcW w:type="dxa" w:w="6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zentraler Server; empfängt Nachrichten und verteilt sie an Abonnenten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Publisher</w:t>
            </w:r>
          </w:p>
        </w:tc>
        <w:tc>
          <w:tcPr>
            <w:tcW w:type="dxa" w:w="6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Client, der Nachrichten zu einem Topic sendet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Subscriber</w:t>
            </w:r>
          </w:p>
        </w:tc>
        <w:tc>
          <w:tcPr>
            <w:tcW w:type="dxa" w:w="6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Client, der Topics abonniert und Nachrichten empfängt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Topic</w:t>
            </w:r>
          </w:p>
        </w:tc>
        <w:tc>
          <w:tcPr>
            <w:tcW w:type="dxa" w:w="6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hierarchischer Pfad zur Kategorisierung, z. B. haus/wohnzimmer/temperatur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Wildcards</w:t>
            </w:r>
          </w:p>
        </w:tc>
        <w:tc>
          <w:tcPr>
            <w:tcW w:type="dxa" w:w="6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+ (genau eine Ebene) und # (alle untergeordneten Ebenen)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Retain-Flag</w:t>
            </w:r>
          </w:p>
        </w:tc>
        <w:tc>
          <w:tcPr>
            <w:tcW w:type="dxa" w:w="6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Broker speichert die letzte Nachricht für neu hinzukommende Subscriber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Last Will</w:t>
            </w:r>
          </w:p>
        </w:tc>
        <w:tc>
          <w:tcPr>
            <w:tcW w:type="dxa" w:w="6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Nachricht, die bei unerwartetem Verbindungsabbruch gesendet wird</w:t>
            </w:r>
          </w:p>
        </w:tc>
      </w:tr>
    </w:tbl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7  Quality of Service (QoS)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QoS 0 – At most once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/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„Fire and Forget“, keine Bestätigung; Nachricht kann verloren gehen – geringster Overhead.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QoS 1 – At least once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/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Mindestens einmal zugestellt, Bestätigung per PUBACK; Duplikate möglich – guter Kompromiss.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QoS 2 – Exactly once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/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Genau einmal zugestellt über einen 4-Wege-Handshake; höchste Zuverlässigkeit – größter Overhead.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F0A500"/>
          <w:sz w:val="22"/>
          <w:szCs w:val="22"/>
        </w:rPr>
        <w:t xml:space="preserve">Praxisregel: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QoS 0 für häufige, unkritische Sensordaten · QoS 1 für wichtige Meldungen (Alarme) · QoS 2 für kritische Transaktionen (Steuerbefehle, Zahlungen).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8  Praxisbausteine: Broker &amp; Werkzeuge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 der Praxis (Leittexte) arbeiten Sie mit einem eigenen Broker und passenden Werkzeugen. Hier die wichtigsten als Nachschlag: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Mosquitto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Quelloffener, leichtgewichtiger MQTT-Broker (Eclipse-Projekt). Wird oft als Docker-Container betrieben.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Ports: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1883 (MQTT über TCP), 9001 (MQTT über WebSockets).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Node-RED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Flow-basiertes Werkzeug, um Datenflüsse per Drag-and-drop zu „verdrahten“. Mit der Dashboard-Erweiterung lassen sich Live-Anzeigen (Gauge, Chart) bauen.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Einsatz: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abonniert MQTT-Topics und visualisiert die Werte im Browser (.../ui).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MQTT-Clients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mosquitto_pub / mosquitto_sub: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Kommandozeilen-Tools zum Senden/Empfangen.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MQTT Explorer: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grafischer Client zum Mitlesen der Topics.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paho-mqtt: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Python-Bibliothek, um eigene Publisher/Subscriber zu programmieren.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Docker / Portainer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Docker führt Anwendungen in Containern aus; Portainer ist die grafische Verwaltungsoberfläche, über die der Broker- und Node-RED-Stack bereitgestellt wird.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9  Zusammenfassung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IoT-Protokolle verteilen sich über alle sieben OSI-Schichten.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MQTT (Pub/Sub) ist führend für Telemetrie; CoAP eignet sich für ressourcenarme Geräte.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5G bietet höhere Datenraten, sehr geringe Latenz und Network Slicing (eMBB, URLLC, mMTC).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QoS steuert die Zustellgarantie von „kann verloren gehen“ (0) bis „genau einmal“ (2).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10  Wiederholungsfragen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Ordnen Sie MQTT, TCP und WiFi je einer OSI-Schicht zu.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Worin unterscheiden sich Request/Response und Publish/Subscribe?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Nennen Sie drei wesentliche Vorteile von 5G gegenüber 4G.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Erklären Sie die MQTT-Begriffe Topic, Wildcard und Retain-Flag.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QoS-Stufe wählen Sie für einen Temperatursensor und welche für einen Steuerbefehl? Begründen Sie.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5A6470"/>
        <w:sz w:val="16"/>
        <w:szCs w:val="16"/>
      </w:rPr>
      <w:t xml:space="preserve">[Vor- und Nachname]</w:t>
    </w:r>
    <w:r>
      <w:rPr>
        <w:rFonts w:ascii="Calibri" w:cs="Calibri" w:eastAsia="Calibri" w:hAnsi="Calibri"/>
        <w:color w:val="5A6470"/>
        <w:sz w:val="16"/>
        <w:szCs w:val="16"/>
      </w:rPr>
      <w:t xml:space="preserve">	Modul H – Block 3: Kommunikation &amp; Protokolle</w:t>
    </w:r>
    <w:r>
      <w:rPr>
        <w:rFonts w:ascii="Calibri" w:cs="Calibri" w:eastAsia="Calibri" w:hAnsi="Calibri"/>
        <w:color w:val="5A6470"/>
        <w:sz w:val="16"/>
        <w:szCs w:val="16"/>
      </w:rPr>
      <w:t xml:space="preserve">	TT.MM.JJJJ   |   Seite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0"/>
        <w:sz w:val="16"/>
        <w:szCs w:val="16"/>
      </w:rPr>
      <w:t xml:space="preserve"> von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6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160"/>
      <w:outlineLvl w:val="1"/>
    </w:pPr>
    <w:rPr>
      <w:rFonts w:ascii="Calibri" w:cs="Calibri" w:eastAsia="Calibri" w:hAnsi="Calibri"/>
      <w:b/>
      <w:bCs/>
      <w:color w:val="0066A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2026-06-01T09:03:07.073Z</dcterms:created>
  <dcterms:modified xsi:type="dcterms:W3CDTF">2026-06-01T09:03:07.073Z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