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pacing w:val="30"/>
          <w:sz w:val="20"/>
          <w:szCs w:val="20"/>
        </w:rPr>
        <w:t xml:space="preserve">MODUL H  ·  ABKÜRZUNGSZETTEL</w:t>
      </w:r>
    </w:p>
    <w:p>
      <w:pPr>
        <w:pBdr>
          <w:bottom w:val="single" w:color="003366" w:sz="12" w:space="6"/>
        </w:pBd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Abkürzungsverzeichnis</w:t>
      </w:r>
    </w:p>
    <w:p>
      <w:pP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Cyber-physische Systeme, IoT &amp; Industrie 4.0 – alphabetisch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Abkürzung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6LoWPAN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IPv6 over Low-Power Wireless Personal Area Networks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ADAS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Advanced Driver Assistance Systems (Fahrassistenzsysteme)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AGV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Automated Guided Vehicle (fahrerloses Transportsystem, FTS)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AMQP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Advanced Message Queuing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AR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Augmented Reality (erweiterte Realität)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BLE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Bluetooth Low Energy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BSI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Bundesamt für Sicherheit in der Informationstechnik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C-V2X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Cellular Vehicle-to-Everything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CAD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Computer-Aided Design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CALMS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Culture, Automation, Lean, Measurement, Sharing (DevOps)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CI/CD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Continuous Integration / Continuous Delivery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CoAP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Constrained Application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Cobot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Collaborative Robot (kollaborativer Roboter)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CPPS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Cyber-Physical Production System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CPS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Cyber-Physical System (cyber-physisches System)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DHCP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Dynamic Host Configuration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DSRC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Dedicated Short Range Communication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DTLS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Datagram Transport Layer Security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eMBB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Enhanced Mobile Broadband (5G-Kategorie)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ERP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Enterprise Resource Planning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ESD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Electrostatic Discharge (elektrostatische Entladung)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FMEA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Failure Mode and Effects Analysis (Fehlermöglichkeits- und Einflussanalyse)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GPIO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General Purpose Input/Output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HD-Maps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High-Definition Maps (hochauflösende Karten)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HMD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Head-Mounted Display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HTTP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Hypertext Transfer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IaC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Infrastructure as Code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IIoT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Industrial Internet of Things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IoT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Internet of Things (Internet der Dinge)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IP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Internet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KI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Künstliche Intelligenz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LDR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Light Dependent Resistor (lichtabhängiger Widerstand)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LoRaWAN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Long Range Wide Area Network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LTE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Long Term Evolution (4G)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M2M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Machine-to-Machine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MCU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Microcontroller Unit (Mikrocontroller)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MEMS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Micro-Electro-Mechanical System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mMTC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Massive Machine Type Communication (5G-Kategorie)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mmWave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Millimeter Wave (Millimeterwellen)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MQTT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Message Queuing Telemetry Transport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MR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Mixed Reality (gemischte Realität)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MTTR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Mean Time to Recovery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NFC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Near Field Communication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OBD-II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On-Board Diagnostics II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OPC UA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Open Platform Communications Unified Architecture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Operating System (Betriebssystem)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OSI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Open Systems Interconnection (Referenzmodell)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OTA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Over-the-Air (Updates ohne Kabel)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PIR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Passive Infrared (Bewegungssensor)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PoC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Proof of Concept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PV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Photovoltaik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QoS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Quality of Service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REST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Representational State Transfer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RFID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Radio-Frequency Identification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RPZ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Risikoprioritätszahl (RPZ = A × B × 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RTOS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Real-Time Operating System (Echtzeitbetriebssystem)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SAE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Society of Automotive Engineers (Automatisierungsstufen 0–5)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SBC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Single Board Computer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SCADA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Supervisory Control and Data Acquisition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SPC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Statistical Process Control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SPS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Speicherprogrammierbare Steuerung (engl. PLC)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TCP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Transmission Control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TLS/SSL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Transport Layer Security / Secure Sockets Layer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UDP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User Datagram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URLLC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Ultra Reliable Low Latency Communication (5G-Kategorie)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USV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Unterbrechungsfreie Stromversorgung (engl. UPS)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V2X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Vehicle-to-Everything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VR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Virtual Reality (virtuelle Realität)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VUCA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Volatility, Uncertainty, Complexity, Ambiguity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WIP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Work in Progress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WLAN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Wireless Local Area Network (IEEE 802.11)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WMS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Warehouse Management System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XMPP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EEF5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Extensible Messaging and Presence Protocol</w:t>
            </w:r>
          </w:p>
        </w:tc>
      </w:tr>
      <w:tr>
        <w:tc>
          <w:tcPr>
            <w:tcW w:type="dxa" w:w="2400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ZigBee</w:t>
            </w:r>
          </w:p>
        </w:tc>
        <w:tc>
          <w:tcPr>
            <w:tcW w:type="dxa" w:w="6626"/>
            <w:tcBorders>
              <w:top w:val="single" w:color="C7D6E5" w:sz="4"/>
              <w:left w:val="single" w:color="C7D6E5" w:sz="4"/>
              <w:bottom w:val="single" w:color="C7D6E5" w:sz="4"/>
              <w:right w:val="single" w:color="C7D6E5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1"/>
                <w:szCs w:val="21"/>
              </w:rPr>
              <w:t xml:space="preserve">energiesparender Funkstandard (Mesh-Netzwerk)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5A6470"/>
        <w:sz w:val="16"/>
        <w:szCs w:val="16"/>
      </w:rPr>
      <w:t xml:space="preserve">[Vor- und Nachname]</w:t>
    </w:r>
    <w:r>
      <w:rPr>
        <w:rFonts w:ascii="Calibri" w:cs="Calibri" w:eastAsia="Calibri" w:hAnsi="Calibri"/>
        <w:color w:val="5A6470"/>
        <w:sz w:val="16"/>
        <w:szCs w:val="16"/>
      </w:rPr>
      <w:t xml:space="preserve">	Modul H – Abkürzungszettel</w:t>
    </w:r>
    <w:r>
      <w:rPr>
        <w:rFonts w:ascii="Calibri" w:cs="Calibri" w:eastAsia="Calibri" w:hAnsi="Calibri"/>
        <w:color w:val="5A6470"/>
        <w:sz w:val="16"/>
        <w:szCs w:val="16"/>
      </w:rPr>
      <w:t xml:space="preserve">	TT.MM.JJJJ   |   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6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Calibri" w:cs="Calibri" w:eastAsia="Calibri" w:hAnsi="Calibri"/>
      <w:b/>
      <w:bCs/>
      <w:color w:val="0066AA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2026-06-01T04:59:16.313Z</dcterms:created>
  <dcterms:modified xsi:type="dcterms:W3CDTF">2026-06-01T04:59:16.313Z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