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360"/>
      </w:pPr>
      <w:r>
        <w:rPr>
          <w:rFonts w:ascii="Calibri" w:cs="Calibri" w:eastAsia="Calibri" w:hAnsi="Calibri"/>
          <w:b/>
          <w:bCs/>
          <w:color w:val="003366"/>
          <w:sz w:val="50"/>
          <w:szCs w:val="50"/>
        </w:rPr>
        <w:t xml:space="preserve">Modul G – Serviceanfragen</w:t>
      </w:r>
    </w:p>
    <w:p>
      <w:pPr>
        <w:spacing w:after="80"/>
      </w:pPr>
      <w:r>
        <w:rPr>
          <w:rFonts w:ascii="Calibri" w:cs="Calibri" w:eastAsia="Calibri" w:hAnsi="Calibri"/>
          <w:color w:val="0066AA"/>
          <w:sz w:val="34"/>
          <w:szCs w:val="34"/>
        </w:rPr>
        <w:t xml:space="preserve">Tag 2: Servicefallbearbeitung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1A1A1A"/>
          <w:sz w:val="28"/>
          <w:szCs w:val="28"/>
        </w:rPr>
        <w:t xml:space="preserve">Schüler-Aufgabenheft</w:t>
      </w:r>
    </w:p>
    <w:p>
      <w:pPr>
        <w:spacing w:after="200"/>
      </w:pPr>
      <w:r>
        <w:rPr>
          <w:rFonts w:ascii="Calibri" w:cs="Calibri" w:eastAsia="Calibri" w:hAnsi="Calibri"/>
          <w:i/>
          <w:iCs/>
          <w:color w:val="555555"/>
          <w:sz w:val="20"/>
          <w:szCs w:val="20"/>
        </w:rPr>
        <w:t xml:space="preserve">bfw – Unternehmen für Bildung  |  Standort Lübeck</w:t>
      </w:r>
    </w:p>
    <w:p>
      <w:pPr>
        <w:spacing w:after="300" w:before="20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Name: ______________________________     Datum: ____________</w:t>
      </w:r>
    </w:p>
    <w:p>
      <w:pPr>
        <w:pBdr>
          <w:bottom w:val="single" w:color="F0A500" w:sz="6"/>
        </w:pBdr>
        <w:shd w:fill="003366" w:val="clear"/>
        <w:spacing w:after="120" w:before="240"/>
        <w:ind w:left="120" w:right="120"/>
      </w:pPr>
      <w:r>
        <w:rPr>
          <w:rFonts w:ascii="Calibri" w:cs="Calibri" w:eastAsia="Calibri" w:hAnsi="Calibri"/>
          <w:b/>
          <w:bCs/>
          <w:color w:val="FFFFFF"/>
          <w:sz w:val="32"/>
          <w:szCs w:val="32"/>
        </w:rPr>
        <w:t xml:space="preserve">Block 1: Levelsupport, Ticketsysteme &amp; Kennzahlen</w:t>
      </w:r>
    </w:p>
    <w:p>
      <w:pPr>
        <w:pBdr>
          <w:bottom w:val="single" w:color="D6E4F0" w:sz="3"/>
        </w:pBdr>
        <w:spacing w:after="80" w:before="20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Lernstoff kompakt</w:t>
      </w:r>
    </w:p>
    <w:p>
      <w:pPr>
        <w:spacing w:after="60" w:before="140"/>
      </w:pPr>
      <w:r>
        <w:rPr>
          <w:rFonts w:ascii="Calibri" w:cs="Calibri" w:eastAsia="Calibri" w:hAnsi="Calibri"/>
          <w:b/>
          <w:bCs/>
          <w:color w:val="0066AA"/>
          <w:sz w:val="23"/>
          <w:szCs w:val="23"/>
        </w:rPr>
        <w:t xml:space="preserve">Ticket- und Levelsupport: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1st Level (First Level Support): Erstaufnahme, Klassifizierung, Standardfälle. Ziel: First Call Resolution (FCR).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2nd Level (Second Level Support): Fachspezialisten, tiefe Analyse, pflegen Known Error (bekannter Fehler).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3rd Level (Third Level Support): Hersteller/Entwickler, komplexe Bugs, Patches, kein Nutzerkontakt.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Eskalation: 1st → 2nd → 3rd, wenn die Lösung das Level übersteigt.</w:t>
      </w:r>
    </w:p>
    <w:p>
      <w:pPr>
        <w:spacing w:after="80" w:before="0"/>
      </w:pPr>
    </w:p>
    <w:p>
      <w:pPr>
        <w:spacing w:after="60" w:before="140"/>
      </w:pPr>
      <w:r>
        <w:rPr>
          <w:rFonts w:ascii="Calibri" w:cs="Calibri" w:eastAsia="Calibri" w:hAnsi="Calibri"/>
          <w:b/>
          <w:bCs/>
          <w:color w:val="0066AA"/>
          <w:sz w:val="23"/>
          <w:szCs w:val="23"/>
        </w:rPr>
        <w:t xml:space="preserve">Ticketsysteme (Beispiele):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JIRA Service Management (Atlassian) – agile Teams, anpassbar, Cloud &amp; On-Premise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OTRS (Open Ticket Request System) – im Mittelstand verbreitet, Community-Edition kostenfrei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ServiceNow – Enterprise-Standard, sehr mächtig, teuer, nur als Online-Dienst</w:t>
      </w:r>
    </w:p>
    <w:p>
      <w:pPr>
        <w:spacing w:after="80" w:before="0"/>
      </w:pPr>
    </w:p>
    <w:p>
      <w:pPr>
        <w:spacing w:after="60" w:before="140"/>
      </w:pPr>
      <w:r>
        <w:rPr>
          <w:rFonts w:ascii="Calibri" w:cs="Calibri" w:eastAsia="Calibri" w:hAnsi="Calibri"/>
          <w:b/>
          <w:bCs/>
          <w:color w:val="0066AA"/>
          <w:sz w:val="23"/>
          <w:szCs w:val="23"/>
        </w:rPr>
        <w:t xml:space="preserve">Kennzahlen (KPI – Key Performance Indicator):</w:t>
      </w: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4746"/>
        <w:gridCol w:w="1800"/>
      </w:tblGrid>
      <w:tr>
        <w:tc>
          <w:tcPr>
            <w:tcW w:type="dxa" w:w="32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Kennzahl</w:t>
            </w:r>
          </w:p>
        </w:tc>
        <w:tc>
          <w:tcPr>
            <w:tcW w:type="dxa" w:w="474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Bedeutung</w:t>
            </w:r>
          </w:p>
        </w:tc>
        <w:tc>
          <w:tcPr>
            <w:tcW w:type="dxa" w:w="18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Zielwert</w:t>
            </w:r>
          </w:p>
        </w:tc>
      </w:tr>
      <w:tr>
        <w:tc>
          <w:tcPr>
            <w:tcW w:type="dxa" w:w="32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FCR – First Call Resolution</w:t>
            </w:r>
          </w:p>
        </w:tc>
        <w:tc>
          <w:tcPr>
            <w:tcW w:type="dxa" w:w="474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1A1A1A"/>
                <w:sz w:val="21"/>
                <w:szCs w:val="21"/>
              </w:rPr>
              <w:t xml:space="preserve">beim Erstkontakt gelöste Anfragen</w:t>
            </w:r>
          </w:p>
        </w:tc>
        <w:tc>
          <w:tcPr>
            <w:tcW w:type="dxa" w:w="18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1A1A1A"/>
                <w:sz w:val="21"/>
                <w:szCs w:val="21"/>
              </w:rPr>
              <w:t xml:space="preserve">&gt; 70 %</w:t>
            </w:r>
          </w:p>
        </w:tc>
      </w:tr>
      <w:tr>
        <w:tc>
          <w:tcPr>
            <w:tcW w:type="dxa" w:w="32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MTTR – Mean Time to Repair</w:t>
            </w:r>
          </w:p>
        </w:tc>
        <w:tc>
          <w:tcPr>
            <w:tcW w:type="dxa" w:w="474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1A1A1A"/>
                <w:sz w:val="21"/>
                <w:szCs w:val="21"/>
              </w:rPr>
              <w:t xml:space="preserve">Ø Zeit bis zur Lösung</w:t>
            </w:r>
          </w:p>
        </w:tc>
        <w:tc>
          <w:tcPr>
            <w:tcW w:type="dxa" w:w="18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1A1A1A"/>
                <w:sz w:val="21"/>
                <w:szCs w:val="21"/>
              </w:rPr>
              <w:t xml:space="preserve">&lt; SLA-Ziel</w:t>
            </w:r>
          </w:p>
        </w:tc>
      </w:tr>
      <w:tr>
        <w:tc>
          <w:tcPr>
            <w:tcW w:type="dxa" w:w="32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Eskalationsquote</w:t>
            </w:r>
          </w:p>
        </w:tc>
        <w:tc>
          <w:tcPr>
            <w:tcW w:type="dxa" w:w="474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1A1A1A"/>
                <w:sz w:val="21"/>
                <w:szCs w:val="21"/>
              </w:rPr>
              <w:t xml:space="preserve">Anteil eskalierter Tickets</w:t>
            </w:r>
          </w:p>
        </w:tc>
        <w:tc>
          <w:tcPr>
            <w:tcW w:type="dxa" w:w="18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1A1A1A"/>
                <w:sz w:val="21"/>
                <w:szCs w:val="21"/>
              </w:rPr>
              <w:t xml:space="preserve">&lt; 20 %</w:t>
            </w:r>
          </w:p>
        </w:tc>
      </w:tr>
      <w:tr>
        <w:tc>
          <w:tcPr>
            <w:tcW w:type="dxa" w:w="32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CSAT – Customer Satisfaction</w:t>
            </w:r>
          </w:p>
        </w:tc>
        <w:tc>
          <w:tcPr>
            <w:tcW w:type="dxa" w:w="474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1A1A1A"/>
                <w:sz w:val="21"/>
                <w:szCs w:val="21"/>
              </w:rPr>
              <w:t xml:space="preserve">Kundenzufriedenheit nach Lösung</w:t>
            </w:r>
          </w:p>
        </w:tc>
        <w:tc>
          <w:tcPr>
            <w:tcW w:type="dxa" w:w="18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1A1A1A"/>
                <w:sz w:val="21"/>
                <w:szCs w:val="21"/>
              </w:rPr>
              <w:t xml:space="preserve">&gt; 4 / 5</w:t>
            </w:r>
          </w:p>
        </w:tc>
      </w:tr>
      <w:tr>
        <w:tc>
          <w:tcPr>
            <w:tcW w:type="dxa" w:w="32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Rückläuferquote</w:t>
            </w:r>
          </w:p>
        </w:tc>
        <w:tc>
          <w:tcPr>
            <w:tcW w:type="dxa" w:w="474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1A1A1A"/>
                <w:sz w:val="21"/>
                <w:szCs w:val="21"/>
              </w:rPr>
              <w:t xml:space="preserve">erneut geöffnete Tickets</w:t>
            </w:r>
          </w:p>
        </w:tc>
        <w:tc>
          <w:tcPr>
            <w:tcW w:type="dxa" w:w="18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1A1A1A"/>
                <w:sz w:val="21"/>
                <w:szCs w:val="21"/>
              </w:rPr>
              <w:t xml:space="preserve">&lt; 5 %</w:t>
            </w:r>
          </w:p>
        </w:tc>
      </w:tr>
    </w:tbl>
    <w:p>
      <w:pPr>
        <w:spacing w:after="120" w:before="0"/>
      </w:pP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46"/>
      </w:tblGrid>
      <w:tr>
        <w:tc>
          <w:tcPr>
            <w:tcW w:type="dxa" w:w="9746"/>
            <w:tcBorders>
              <w:top w:val="single" w:color="F0A500" w:sz="6"/>
              <w:left w:val="single" w:color="F0A500" w:sz="12"/>
              <w:bottom w:val="single" w:color="D6E4F0" w:sz="2"/>
              <w:right w:val="single" w:color="D6E4F0" w:sz="2"/>
            </w:tcBorders>
            <w:shd w:fill="EEF5FB" w:val="clear"/>
            <w:tcMar>
              <w:top w:type="dxa" w:w="80"/>
              <w:left w:type="dxa" w:w="16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1"/>
                <w:szCs w:val="21"/>
              </w:rPr>
              <w:t xml:space="preserve">Aufgabe 1 – Ticket klassifizieren (zu zweit)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color w:val="1A1A1A"/>
                <w:sz w:val="21"/>
                <w:szCs w:val="21"/>
              </w:rPr>
              <w:t xml:space="preserve">Entscheiden Sie je Ticket: Typ (Serviceanfrage R / Störung S), Level (1st/2nd/3rd), Priorität (niedrig/normal/hoch/kritisch).</w:t>
            </w:r>
          </w:p>
        </w:tc>
      </w:tr>
    </w:tbl>
    <w:p>
      <w:pPr>
        <w:spacing w:after="60" w:before="0"/>
      </w:pP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4646"/>
        <w:gridCol w:w="1300"/>
        <w:gridCol w:w="1300"/>
        <w:gridCol w:w="1600"/>
      </w:tblGrid>
      <w:tr>
        <w:tc>
          <w:tcPr>
            <w:tcW w:type="dxa" w:w="9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ID</w:t>
            </w:r>
          </w:p>
        </w:tc>
        <w:tc>
          <w:tcPr>
            <w:tcW w:type="dxa" w:w="464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Meldung</w:t>
            </w:r>
          </w:p>
        </w:tc>
        <w:tc>
          <w:tcPr>
            <w:tcW w:type="dxa" w:w="13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Typ</w:t>
            </w:r>
          </w:p>
        </w:tc>
        <w:tc>
          <w:tcPr>
            <w:tcW w:type="dxa" w:w="13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Level</w:t>
            </w:r>
          </w:p>
        </w:tc>
        <w:tc>
          <w:tcPr>
            <w:tcW w:type="dxa" w:w="16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Priorität</w:t>
            </w:r>
          </w:p>
        </w:tc>
      </w:tr>
      <w:tr>
        <w:tc>
          <w:tcPr>
            <w:tcW w:type="dxa" w:w="9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T-001</w:t>
            </w:r>
          </w:p>
        </w:tc>
        <w:tc>
          <w:tcPr>
            <w:tcW w:type="dxa" w:w="464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1A1A1A"/>
                <w:sz w:val="21"/>
                <w:szCs w:val="21"/>
              </w:rPr>
              <w:t xml:space="preserve">Frau Müller möchte ein neues Teams-Konto für einen neuen Kollegen anlegen lassen.</w:t>
            </w:r>
          </w:p>
        </w:tc>
        <w:tc>
          <w:tcPr>
            <w:tcW w:type="dxa" w:w="13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/>
            </w:r>
          </w:p>
        </w:tc>
        <w:tc>
          <w:tcPr>
            <w:tcW w:type="dxa" w:w="13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/>
            </w:r>
          </w:p>
        </w:tc>
        <w:tc>
          <w:tcPr>
            <w:tcW w:type="dxa" w:w="16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9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T-002</w:t>
            </w:r>
          </w:p>
        </w:tc>
        <w:tc>
          <w:tcPr>
            <w:tcW w:type="dxa" w:w="464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1A1A1A"/>
                <w:sz w:val="21"/>
                <w:szCs w:val="21"/>
              </w:rPr>
              <w:t xml:space="preserve">Datenbankserver nicht erreichbar – 40 Mitarbeiter ohne Zugriff auf das Kundensystem (CRM).</w:t>
            </w:r>
          </w:p>
        </w:tc>
        <w:tc>
          <w:tcPr>
            <w:tcW w:type="dxa" w:w="13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/>
            </w:r>
          </w:p>
        </w:tc>
        <w:tc>
          <w:tcPr>
            <w:tcW w:type="dxa" w:w="13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/>
            </w:r>
          </w:p>
        </w:tc>
        <w:tc>
          <w:tcPr>
            <w:tcW w:type="dxa" w:w="16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9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T-003</w:t>
            </w:r>
          </w:p>
        </w:tc>
        <w:tc>
          <w:tcPr>
            <w:tcW w:type="dxa" w:w="464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1A1A1A"/>
                <w:sz w:val="21"/>
                <w:szCs w:val="21"/>
              </w:rPr>
              <w:t xml:space="preserve">Herr Schneider benötigt Adobe Acrobat Reader lokal installiert.</w:t>
            </w:r>
          </w:p>
        </w:tc>
        <w:tc>
          <w:tcPr>
            <w:tcW w:type="dxa" w:w="13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/>
            </w:r>
          </w:p>
        </w:tc>
        <w:tc>
          <w:tcPr>
            <w:tcW w:type="dxa" w:w="13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/>
            </w:r>
          </w:p>
        </w:tc>
        <w:tc>
          <w:tcPr>
            <w:tcW w:type="dxa" w:w="16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9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T-004</w:t>
            </w:r>
          </w:p>
        </w:tc>
        <w:tc>
          <w:tcPr>
            <w:tcW w:type="dxa" w:w="464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1A1A1A"/>
                <w:sz w:val="21"/>
                <w:szCs w:val="21"/>
              </w:rPr>
              <w:t xml:space="preserve">Virtual Private Network (VPN) von Herrn Weber trennt sich alle 20 Minuten.</w:t>
            </w:r>
          </w:p>
        </w:tc>
        <w:tc>
          <w:tcPr>
            <w:tcW w:type="dxa" w:w="13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/>
            </w:r>
          </w:p>
        </w:tc>
        <w:tc>
          <w:tcPr>
            <w:tcW w:type="dxa" w:w="13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/>
            </w:r>
          </w:p>
        </w:tc>
        <w:tc>
          <w:tcPr>
            <w:tcW w:type="dxa" w:w="16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/>
            </w:r>
          </w:p>
        </w:tc>
      </w:tr>
    </w:tbl>
    <w:p>
      <w:pPr>
        <w:spacing w:after="80" w:before="0"/>
      </w:pPr>
    </w:p>
    <w:p>
      <w:pPr>
        <w:spacing w:after="120" w:before="0"/>
      </w:pPr>
    </w:p>
    <w:p>
      <w:pPr>
        <w:pBdr>
          <w:bottom w:val="single" w:color="F0A500" w:sz="6"/>
        </w:pBdr>
        <w:shd w:fill="003366" w:val="clear"/>
        <w:spacing w:after="120" w:before="240"/>
        <w:ind w:left="120" w:right="120"/>
      </w:pPr>
      <w:r>
        <w:rPr>
          <w:rFonts w:ascii="Calibri" w:cs="Calibri" w:eastAsia="Calibri" w:hAnsi="Calibri"/>
          <w:b/>
          <w:bCs/>
          <w:color w:val="FFFFFF"/>
          <w:sz w:val="32"/>
          <w:szCs w:val="32"/>
        </w:rPr>
        <w:t xml:space="preserve">Block 2: Incident- &amp; Problemmanagement</w:t>
      </w:r>
    </w:p>
    <w:p>
      <w:pPr>
        <w:pBdr>
          <w:bottom w:val="single" w:color="D6E4F0" w:sz="3"/>
        </w:pBdr>
        <w:spacing w:after="80" w:before="20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Lernstoff kompakt</w:t>
      </w: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73"/>
        <w:gridCol w:w="4873"/>
      </w:tblGrid>
      <w:tr>
        <w:tc>
          <w:tcPr>
            <w:tcW w:type="dxa" w:w="4873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Incident Management</w:t>
            </w:r>
          </w:p>
        </w:tc>
        <w:tc>
          <w:tcPr>
            <w:tcW w:type="dxa" w:w="4873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Problem Management</w:t>
            </w:r>
          </w:p>
        </w:tc>
      </w:tr>
      <w:tr>
        <w:tc>
          <w:tcPr>
            <w:tcW w:type="dxa" w:w="4873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1A1A1A"/>
                <w:sz w:val="21"/>
                <w:szCs w:val="21"/>
              </w:rPr>
              <w:t xml:space="preserve">Reagiert auf konkrete Störung. Ziel: schnelle Wiederherstellung. Workaround akzeptabel. Kurzer Zeithorizont. Kein zwingender Ursachen-Fix.</w:t>
            </w:r>
          </w:p>
        </w:tc>
        <w:tc>
          <w:tcPr>
            <w:tcW w:type="dxa" w:w="4873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1A1A1A"/>
                <w:sz w:val="21"/>
                <w:szCs w:val="21"/>
              </w:rPr>
              <w:t xml:space="preserve">Analysiert die Ursache (Root Cause). Ziel: dauerhafte Lösung. Pflegt Known Error Database (KEDB). Mittlerer/langer Zeithorizont. Ursachenanalyse verpflichtend.</w:t>
            </w:r>
          </w:p>
        </w:tc>
      </w:tr>
    </w:tbl>
    <w:p>
      <w:pPr>
        <w:spacing w:after="80" w:before="0"/>
      </w:pPr>
    </w:p>
    <w:p>
      <w:pPr>
        <w:spacing w:after="60" w:before="140"/>
      </w:pPr>
      <w:r>
        <w:rPr>
          <w:rFonts w:ascii="Calibri" w:cs="Calibri" w:eastAsia="Calibri" w:hAnsi="Calibri"/>
          <w:b/>
          <w:bCs/>
          <w:color w:val="0066AA"/>
          <w:sz w:val="23"/>
          <w:szCs w:val="23"/>
        </w:rPr>
        <w:t xml:space="preserve">Wichtige Begriffe: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Incident – ungeplante Störung des Normalbetriebs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Problem – Ursache eines oder mehrerer Incidents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Known Error – Problem mit identifizierter Ursache und dokumentiertem Workaround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KEDB (Known Error Database) – Datenbank bekannter Fehler, beschleunigt die Lösung im 1st Level</w:t>
      </w:r>
    </w:p>
    <w:p>
      <w:pPr>
        <w:spacing w:after="120" w:before="0"/>
      </w:pP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46"/>
      </w:tblGrid>
      <w:tr>
        <w:tc>
          <w:tcPr>
            <w:tcW w:type="dxa" w:w="9746"/>
            <w:tcBorders>
              <w:top w:val="single" w:color="F0A500" w:sz="6"/>
              <w:left w:val="single" w:color="F0A500" w:sz="12"/>
              <w:bottom w:val="single" w:color="D6E4F0" w:sz="2"/>
              <w:right w:val="single" w:color="D6E4F0" w:sz="2"/>
            </w:tcBorders>
            <w:shd w:fill="EEF5FB" w:val="clear"/>
            <w:tcMar>
              <w:top w:type="dxa" w:w="80"/>
              <w:left w:type="dxa" w:w="16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1"/>
                <w:szCs w:val="21"/>
              </w:rPr>
              <w:t xml:space="preserve">Aufgabe 2 – Incident oder Problem? (Kartensortierung)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color w:val="1A1A1A"/>
                <w:sz w:val="21"/>
                <w:szCs w:val="21"/>
              </w:rPr>
              <w:t xml:space="preserve">Ordnen Sie jede Aussage zu: I = Incident-Management / P = Problem-Management.</w:t>
            </w:r>
          </w:p>
        </w:tc>
      </w:tr>
    </w:tbl>
    <w:p>
      <w:pPr>
        <w:spacing w:after="60" w:before="0"/>
      </w:pP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346"/>
        <w:gridCol w:w="1400"/>
      </w:tblGrid>
      <w:tr>
        <w:tc>
          <w:tcPr>
            <w:tcW w:type="dxa" w:w="834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Aussage</w:t>
            </w:r>
          </w:p>
        </w:tc>
        <w:tc>
          <w:tcPr>
            <w:tcW w:type="dxa" w:w="14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I / P</w:t>
            </w:r>
          </w:p>
        </w:tc>
      </w:tr>
      <w:tr>
        <w:tc>
          <w:tcPr>
            <w:tcW w:type="dxa" w:w="834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1A1A1A"/>
                <w:sz w:val="21"/>
                <w:szCs w:val="21"/>
              </w:rPr>
              <w:t xml:space="preserve">Der Server wird neu gestartet, damit die Nutzer schnell weiterarbeiten können.</w:t>
            </w:r>
          </w:p>
        </w:tc>
        <w:tc>
          <w:tcPr>
            <w:tcW w:type="dxa" w:w="14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834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1A1A1A"/>
                <w:sz w:val="21"/>
                <w:szCs w:val="21"/>
              </w:rPr>
              <w:t xml:space="preserve">Es wird untersucht, warum der Server schon dreimal diese Woche ausgefallen ist.</w:t>
            </w:r>
          </w:p>
        </w:tc>
        <w:tc>
          <w:tcPr>
            <w:tcW w:type="dxa" w:w="14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834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1A1A1A"/>
                <w:sz w:val="21"/>
                <w:szCs w:val="21"/>
              </w:rPr>
              <w:t xml:space="preserve">Ein Workaround wird angewendet, um die Störung sofort zu umgehen.</w:t>
            </w:r>
          </w:p>
        </w:tc>
        <w:tc>
          <w:tcPr>
            <w:tcW w:type="dxa" w:w="14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834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1A1A1A"/>
                <w:sz w:val="21"/>
                <w:szCs w:val="21"/>
              </w:rPr>
              <w:t xml:space="preserve">Die eigentliche Fehlerursache wird in der KEDB dokumentiert.</w:t>
            </w:r>
          </w:p>
        </w:tc>
        <w:tc>
          <w:tcPr>
            <w:tcW w:type="dxa" w:w="14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834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1A1A1A"/>
                <w:sz w:val="21"/>
                <w:szCs w:val="21"/>
              </w:rPr>
              <w:t xml:space="preserve">Ein einzelnes Ticket wird so schnell wie möglich geschlossen.</w:t>
            </w:r>
          </w:p>
        </w:tc>
        <w:tc>
          <w:tcPr>
            <w:tcW w:type="dxa" w:w="14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834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1A1A1A"/>
                <w:sz w:val="21"/>
                <w:szCs w:val="21"/>
              </w:rPr>
              <w:t xml:space="preserve">Mehrere ähnliche Tickets werden analysiert, um ein Muster zu finden.</w:t>
            </w:r>
          </w:p>
        </w:tc>
        <w:tc>
          <w:tcPr>
            <w:tcW w:type="dxa" w:w="14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/>
            </w:r>
          </w:p>
        </w:tc>
      </w:tr>
    </w:tbl>
    <w:p>
      <w:pPr>
        <w:spacing w:after="80" w:before="0"/>
      </w:pPr>
    </w:p>
    <w:p>
      <w:pPr>
        <w:spacing w:after="120" w:before="0"/>
      </w:pPr>
    </w:p>
    <w:p>
      <w:pPr>
        <w:pBdr>
          <w:bottom w:val="single" w:color="F0A500" w:sz="6"/>
        </w:pBdr>
        <w:shd w:fill="003366" w:val="clear"/>
        <w:spacing w:after="120" w:before="240"/>
        <w:ind w:left="120" w:right="120"/>
      </w:pPr>
      <w:r>
        <w:rPr>
          <w:rFonts w:ascii="Calibri" w:cs="Calibri" w:eastAsia="Calibri" w:hAnsi="Calibri"/>
          <w:b/>
          <w:bCs/>
          <w:color w:val="FFFFFF"/>
          <w:sz w:val="32"/>
          <w:szCs w:val="32"/>
        </w:rPr>
        <w:t xml:space="preserve">Block 3: Monitoring (Überwachung)</w:t>
      </w:r>
    </w:p>
    <w:p>
      <w:pPr>
        <w:pBdr>
          <w:bottom w:val="single" w:color="D6E4F0" w:sz="3"/>
        </w:pBdr>
        <w:spacing w:after="80" w:before="20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Lernstoff kompakt</w:t>
      </w: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46"/>
      </w:tblGrid>
      <w:tr>
        <w:tc>
          <w:tcPr>
            <w:tcW w:type="dxa" w:w="9746"/>
            <w:tcBorders>
              <w:top w:val="single" w:color="F0A500" w:sz="6"/>
              <w:left w:val="single" w:color="F0A500" w:sz="12"/>
              <w:bottom w:val="single" w:color="D6E4F0" w:sz="2"/>
              <w:right w:val="single" w:color="D6E4F0" w:sz="2"/>
            </w:tcBorders>
            <w:shd w:fill="EEF5FB" w:val="clear"/>
            <w:tcMar>
              <w:top w:type="dxa" w:w="80"/>
              <w:left w:type="dxa" w:w="16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1"/>
                <w:szCs w:val="21"/>
              </w:rPr>
              <w:t xml:space="preserve">Monitoring – Definition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color w:val="1A1A1A"/>
                <w:sz w:val="21"/>
                <w:szCs w:val="21"/>
              </w:rPr>
              <w:t xml:space="preserve">Kontinuierliche Überwachung von Systemen und Diensten, um Ausfälle früh zu erkennen und SLA-Ziele (Service Level Agreement) zu sichern.</w:t>
            </w:r>
          </w:p>
        </w:tc>
      </w:tr>
    </w:tbl>
    <w:p>
      <w:pPr>
        <w:spacing w:after="80" w:before="0"/>
      </w:pPr>
    </w:p>
    <w:p>
      <w:pPr>
        <w:spacing w:after="60" w:before="140"/>
      </w:pPr>
      <w:r>
        <w:rPr>
          <w:rFonts w:ascii="Calibri" w:cs="Calibri" w:eastAsia="Calibri" w:hAnsi="Calibri"/>
          <w:b/>
          <w:bCs/>
          <w:color w:val="0066AA"/>
          <w:sz w:val="23"/>
          <w:szCs w:val="23"/>
        </w:rPr>
        <w:t xml:space="preserve">Arten: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Infrastruktur – Server (CPU, Arbeitsspeicher/RAM, Festplatte), Netzwerk, Verfügbarkeit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Anwendung – Antwortzeiten, Fehlerraten, Datenbankabfragen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Log/Protokoll – System- und Anwendungslogs, Sicherheitsereignisse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Performance – Trendanalyse, Kapazitätsplanung, SLA-Einhaltung</w:t>
      </w:r>
    </w:p>
    <w:p>
      <w:pPr>
        <w:spacing w:after="80" w:before="0"/>
      </w:pPr>
    </w:p>
    <w:p>
      <w:pPr>
        <w:spacing w:after="60" w:before="140"/>
      </w:pPr>
      <w:r>
        <w:rPr>
          <w:rFonts w:ascii="Calibri" w:cs="Calibri" w:eastAsia="Calibri" w:hAnsi="Calibri"/>
          <w:b/>
          <w:bCs/>
          <w:color w:val="0066AA"/>
          <w:sz w:val="23"/>
          <w:szCs w:val="23"/>
        </w:rPr>
        <w:t xml:space="preserve">Tools &amp; Alerting (Alarmierung):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Tools: Nagios/Zabbix (Open Source), Grafana/Prometheus (modern), PRTG (kommerziell, KMU)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Alerting-Kette: Schwellwert überschritten → Alarm → Meldung (E-Mail/SMS/Chat) → automatisches Ticket</w:t>
      </w:r>
    </w:p>
    <w:p>
      <w:pPr>
        <w:spacing w:after="120" w:before="0"/>
      </w:pP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46"/>
      </w:tblGrid>
      <w:tr>
        <w:tc>
          <w:tcPr>
            <w:tcW w:type="dxa" w:w="9746"/>
            <w:tcBorders>
              <w:top w:val="single" w:color="F0A500" w:sz="6"/>
              <w:left w:val="single" w:color="F0A500" w:sz="12"/>
              <w:bottom w:val="single" w:color="D6E4F0" w:sz="2"/>
              <w:right w:val="single" w:color="D6E4F0" w:sz="2"/>
            </w:tcBorders>
            <w:shd w:fill="EEF5FB" w:val="clear"/>
            <w:tcMar>
              <w:top w:type="dxa" w:w="80"/>
              <w:left w:type="dxa" w:w="16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1"/>
                <w:szCs w:val="21"/>
              </w:rPr>
              <w:t xml:space="preserve">Aufgabe 3 – Monitoring-/Incident-Szenario (Kleingruppen)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color w:val="1A1A1A"/>
                <w:sz w:val="21"/>
                <w:szCs w:val="21"/>
              </w:rPr>
              <w:t xml:space="preserve">NordTech GmbH, Montag 07:45: Zabbix meldet Webserver WEB-01 – CPU-Auslastung 98 % (Schwellwert 80 %). Drei Anrufe: Website lädt nicht. Zusätzlich: Datenbank-Antwortzeit &gt; 10 Sekunden.</w:t>
            </w:r>
          </w:p>
        </w:tc>
      </w:tr>
    </w:tbl>
    <w:p>
      <w:pPr>
        <w:spacing w:after="60" w:before="0"/>
      </w:pPr>
    </w:p>
    <w:p>
      <w:pPr>
        <w:spacing w:after="40" w:before="6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1.  Incident oder Serviceanfrage? Begründen Sie.</w:t>
      </w:r>
    </w:p>
    <w:p>
      <w:pPr>
        <w:pBdr>
          <w:bottom w:val="single" w:color="D6E4F0" w:sz="2"/>
        </w:pBdr>
        <w:spacing w:after="220" w:before="0"/>
      </w:pPr>
    </w:p>
    <w:p>
      <w:pPr>
        <w:pBdr>
          <w:bottom w:val="single" w:color="D6E4F0" w:sz="2"/>
        </w:pBdr>
        <w:spacing w:after="220" w:before="0"/>
      </w:pPr>
    </w:p>
    <w:p>
      <w:pPr>
        <w:spacing w:after="40" w:before="6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2.  Welche Priorität? Begründen Sie (Auswirkung × Dringlichkeit).</w:t>
      </w:r>
    </w:p>
    <w:p>
      <w:pPr>
        <w:pBdr>
          <w:bottom w:val="single" w:color="D6E4F0" w:sz="2"/>
        </w:pBdr>
        <w:spacing w:after="220" w:before="0"/>
      </w:pPr>
    </w:p>
    <w:p>
      <w:pPr>
        <w:pBdr>
          <w:bottom w:val="single" w:color="D6E4F0" w:sz="2"/>
        </w:pBdr>
        <w:spacing w:after="220" w:before="0"/>
      </w:pPr>
    </w:p>
    <w:p>
      <w:pPr>
        <w:spacing w:after="40" w:before="6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3.  Welches Level übernimmt? Nächste Schritte?</w:t>
      </w:r>
    </w:p>
    <w:p>
      <w:pPr>
        <w:pBdr>
          <w:bottom w:val="single" w:color="D6E4F0" w:sz="2"/>
        </w:pBdr>
        <w:spacing w:after="220" w:before="0"/>
      </w:pPr>
    </w:p>
    <w:p>
      <w:pPr>
        <w:pBdr>
          <w:bottom w:val="single" w:color="D6E4F0" w:sz="2"/>
        </w:pBdr>
        <w:spacing w:after="220" w:before="0"/>
      </w:pPr>
    </w:p>
    <w:p>
      <w:pPr>
        <w:spacing w:after="40" w:before="6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4.  Ab wann wird daraus ein Problem?</w:t>
      </w:r>
    </w:p>
    <w:p>
      <w:pPr>
        <w:pBdr>
          <w:bottom w:val="single" w:color="D6E4F0" w:sz="2"/>
        </w:pBdr>
        <w:spacing w:after="220" w:before="0"/>
      </w:pPr>
    </w:p>
    <w:p>
      <w:pPr>
        <w:pBdr>
          <w:bottom w:val="single" w:color="D6E4F0" w:sz="2"/>
        </w:pBdr>
        <w:spacing w:after="220" w:before="0"/>
      </w:pPr>
    </w:p>
    <w:p>
      <w:pPr>
        <w:spacing w:after="40" w:before="6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5.  Welche zwei Kennzahlen (KPI) sind hier besonders relevant? Warum?</w:t>
      </w:r>
    </w:p>
    <w:p>
      <w:pPr>
        <w:pBdr>
          <w:bottom w:val="single" w:color="D6E4F0" w:sz="2"/>
        </w:pBdr>
        <w:spacing w:after="220" w:before="0"/>
      </w:pPr>
    </w:p>
    <w:p>
      <w:pPr>
        <w:pBdr>
          <w:bottom w:val="single" w:color="D6E4F0" w:sz="2"/>
        </w:pBdr>
        <w:spacing w:after="220" w:before="0"/>
      </w:pPr>
    </w:p>
    <w:p>
      <w:pPr>
        <w:spacing w:after="120" w:before="0"/>
      </w:pPr>
    </w:p>
    <w:p>
      <w:pPr>
        <w:pBdr>
          <w:bottom w:val="single" w:color="F0A500" w:sz="6"/>
        </w:pBdr>
        <w:shd w:fill="003366" w:val="clear"/>
        <w:spacing w:after="120" w:before="240"/>
        <w:ind w:left="120" w:right="120"/>
      </w:pPr>
      <w:r>
        <w:rPr>
          <w:rFonts w:ascii="Calibri" w:cs="Calibri" w:eastAsia="Calibri" w:hAnsi="Calibri"/>
          <w:b/>
          <w:bCs/>
          <w:color w:val="FFFFFF"/>
          <w:sz w:val="32"/>
          <w:szCs w:val="32"/>
        </w:rPr>
        <w:t xml:space="preserve">Zusammenfassung Tag 2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Levelsupport: 1st (FCR), 2nd (Spezialist), 3rd (Hersteller)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Ticketsysteme: JIRA, OTRS, ServiceNow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Kennzahlen (KPI): FCR &gt; 70 %, MTTR, CSAT &gt; 4/5, Eskalationsquote &lt; 20 %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Incident = schnell wiederherstellen / Problem = Ursache dauerhaft beheben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Known Error &amp; KEDB (Known Error Database)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Monitoring: Arten, Tools (Nagios/Zabbix/Grafana/PRTG), Alerting-Kette</w:t>
      </w:r>
    </w:p>
    <w:sectPr>
      <w:headerReference w:type="default" r:id="rId7"/>
      <w:footerReference w:type="default" r:id="rId8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6E4F0" w:sz="4"/>
      </w:pBdr>
      <w:jc w:val="right"/>
    </w:pPr>
    <w:r>
      <w:rPr>
        <w:rFonts w:ascii="Calibri" w:cs="Calibri" w:eastAsia="Calibri" w:hAnsi="Calibri"/>
        <w:color w:val="555555"/>
        <w:sz w:val="16"/>
        <w:szCs w:val="16"/>
      </w:rPr>
      <w:t xml:space="preserve">bfw – Unternehmen für Bildung  |  Standort Lübeck  |  </w:t>
    </w:r>
    <w:r>
      <w:rPr>
        <w:rFonts w:ascii="Calibri" w:cs="Calibri" w:eastAsia="Calibri" w:hAnsi="Calibri"/>
        <w:color w:val="555555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555555"/>
        <w:sz w:val="16"/>
        <w:szCs w:val="16"/>
      </w:rPr>
      <w:t xml:space="preserve"> / </w:t>
    </w:r>
    <w:r>
      <w:rPr>
        <w:rFonts w:ascii="Calibri" w:cs="Calibri" w:eastAsia="Calibri" w:hAnsi="Calibri"/>
        <w:color w:val="555555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6E4F0" w:sz="4"/>
      </w:pBdr>
    </w:pPr>
    <w:r>
      <w:rPr>
        <w:rFonts w:ascii="Calibri" w:cs="Calibri" w:eastAsia="Calibri" w:hAnsi="Calibri"/>
        <w:color w:val="D6E4F0"/>
        <w:sz w:val="16"/>
        <w:szCs w:val="16"/>
      </w:rPr>
      <w:t xml:space="preserve">Modul G – Serviceanfragen  |  Tag 2  |  Schüler-Aufgabenheft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8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A1A1A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2026-05-28T10:22:39.744Z</dcterms:created>
  <dcterms:modified xsi:type="dcterms:W3CDTF">2026-05-28T10:22:39.745Z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