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360"/>
      </w:pPr>
      <w:r>
        <w:rPr>
          <w:rFonts w:ascii="Calibri" w:cs="Calibri" w:eastAsia="Calibri" w:hAnsi="Calibri"/>
          <w:b/>
          <w:bCs/>
          <w:color w:val="003366"/>
          <w:sz w:val="50"/>
          <w:szCs w:val="50"/>
        </w:rPr>
        <w:t xml:space="preserve">Modul G – Serviceanfragen</w:t>
      </w:r>
    </w:p>
    <w:p>
      <w:pPr>
        <w:spacing w:after="80"/>
      </w:pPr>
      <w:r>
        <w:rPr>
          <w:rFonts w:ascii="Calibri" w:cs="Calibri" w:eastAsia="Calibri" w:hAnsi="Calibri"/>
          <w:color w:val="0066AA"/>
          <w:sz w:val="34"/>
          <w:szCs w:val="34"/>
        </w:rPr>
        <w:t xml:space="preserve">Tag 1: Grundlagen &amp; Prozesse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A1A1A"/>
          <w:sz w:val="28"/>
          <w:szCs w:val="28"/>
        </w:rPr>
        <w:t xml:space="preserve">Schüler-Aufgabenheft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bfw – Unternehmen für Bildung  |  Standort Lübeck</w:t>
      </w:r>
    </w:p>
    <w:p>
      <w:pPr>
        <w:spacing w:after="300" w:before="20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Name: ______________________________     Datum: ____________</w:t>
      </w:r>
    </w:p>
    <w:p>
      <w:pPr>
        <w:pBdr>
          <w:bottom w:val="single" w:color="F0A500" w:sz="6"/>
        </w:pBdr>
        <w:shd w:fill="003366" w:val="clear"/>
        <w:spacing w:after="120" w:before="240"/>
        <w:ind w:left="120" w:right="120"/>
      </w:pPr>
      <w:r>
        <w:rPr>
          <w:rFonts w:ascii="Calibri" w:cs="Calibri" w:eastAsia="Calibri" w:hAnsi="Calibri"/>
          <w:b/>
          <w:bCs/>
          <w:color w:val="FFFFFF"/>
          <w:sz w:val="32"/>
          <w:szCs w:val="32"/>
        </w:rPr>
        <w:t xml:space="preserve">Block 1: Grundlagen Servicemanagement</w:t>
      </w:r>
    </w:p>
    <w:p>
      <w:pPr>
        <w:pBdr>
          <w:bottom w:val="single" w:color="D6E4F0" w:sz="3"/>
        </w:pBdr>
        <w:spacing w:after="80" w:before="2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Lernstoff kompakt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single" w:color="F0A500" w:sz="6"/>
              <w:left w:val="single" w:color="F0A500" w:sz="12"/>
              <w:bottom w:val="single" w:color="D6E4F0" w:sz="2"/>
              <w:right w:val="single" w:color="D6E4F0" w:sz="2"/>
            </w:tcBorders>
            <w:shd w:fill="EEF5FB" w:val="clear"/>
            <w:tcMar>
              <w:top w:type="dxa" w:w="80"/>
              <w:left w:type="dxa" w:w="16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Service – Definition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Eine Leistung, die einem Kunden Nutzen bringt, ohne Eigentumsübergang an den Ressourcen. Immateriell; Erstellung und Verbrauch erfolgen gleichzeitig (uno actu).</w:t>
            </w:r>
          </w:p>
        </w:tc>
      </w:tr>
    </w:tbl>
    <w:p>
      <w:pPr>
        <w:spacing w:after="80" w:before="0"/>
      </w:pPr>
    </w:p>
    <w:p>
      <w:pPr>
        <w:spacing w:after="60" w:before="14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Servicearten: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Intern – innerhalb der eigenen Organisation (IT wartet PCs der Kollegen)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Extern – für Kunden außerhalb, meist mit Service Level Agreement (SLA)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Reaktiv – auf Anfrage oder Störung hin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Proaktiv – vorausschauend, ohne Anfrage (z. B. Monitoring, Patch-Management)</w:t>
      </w:r>
    </w:p>
    <w:p>
      <w:pPr>
        <w:spacing w:after="80" w:before="0"/>
      </w:pPr>
    </w:p>
    <w:p>
      <w:pPr>
        <w:spacing w:after="60" w:before="14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Serviceprozesse: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Request Fulfillment – Standardanfrage, kein Fehler (z. B. Passwort-Reset)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Incident Management – ungeplante Störung, schnelle Wiederherstellung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Change Management – geplante Änderung mit Genehmigung &amp; Risikobewertung</w:t>
      </w:r>
    </w:p>
    <w:p>
      <w:pPr>
        <w:spacing w:after="120" w:before="0"/>
      </w:pPr>
    </w:p>
    <w:p>
      <w:pPr>
        <w:pBdr>
          <w:bottom w:val="single" w:color="D6E4F0" w:sz="3"/>
        </w:pBdr>
        <w:spacing w:after="80" w:before="2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RACI-Matrix</w:t>
      </w:r>
    </w:p>
    <w:p>
      <w:pPr>
        <w:spacing w:after="80" w:before="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RACI = Responsible (R, ausführend), Accountable (A, verantwortlich), Consulted (C, beraten), Informed (I, informiert).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400"/>
        <w:gridCol w:w="4746"/>
        <w:gridCol w:w="1800"/>
      </w:tblGrid>
      <w:tr>
        <w:tc>
          <w:tcPr>
            <w:tcW w:type="dxa" w:w="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Kz.</w:t>
            </w:r>
          </w:p>
        </w:tc>
        <w:tc>
          <w:tcPr>
            <w:tcW w:type="dxa" w:w="2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Rolle</w:t>
            </w:r>
          </w:p>
        </w:tc>
        <w:tc>
          <w:tcPr>
            <w:tcW w:type="dxa" w:w="47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Bedeutung</w:t>
            </w:r>
          </w:p>
        </w:tc>
        <w:tc>
          <w:tcPr>
            <w:tcW w:type="dxa" w:w="1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Anzahl</w:t>
            </w:r>
          </w:p>
        </w:tc>
      </w:tr>
      <w:tr>
        <w:tc>
          <w:tcPr>
            <w:tcW w:type="dxa" w:w="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R</w:t>
            </w:r>
          </w:p>
        </w:tc>
        <w:tc>
          <w:tcPr>
            <w:tcW w:type="dxa" w:w="2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Responsible</w:t>
            </w:r>
          </w:p>
        </w:tc>
        <w:tc>
          <w:tcPr>
            <w:tcW w:type="dxa" w:w="47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Führt die Aufgabe aus</w:t>
            </w:r>
          </w:p>
        </w:tc>
        <w:tc>
          <w:tcPr>
            <w:tcW w:type="dxa" w:w="1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mehrere</w:t>
            </w:r>
          </w:p>
        </w:tc>
      </w:tr>
      <w:tr>
        <w:tc>
          <w:tcPr>
            <w:tcW w:type="dxa" w:w="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A</w:t>
            </w:r>
          </w:p>
        </w:tc>
        <w:tc>
          <w:tcPr>
            <w:tcW w:type="dxa" w:w="2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Accountable</w:t>
            </w:r>
          </w:p>
        </w:tc>
        <w:tc>
          <w:tcPr>
            <w:tcW w:type="dxa" w:w="47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Trägt Gesamtverantwortung, genehmigt</w:t>
            </w:r>
          </w:p>
        </w:tc>
        <w:tc>
          <w:tcPr>
            <w:tcW w:type="dxa" w:w="1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genau 1</w:t>
            </w:r>
          </w:p>
        </w:tc>
      </w:tr>
      <w:tr>
        <w:tc>
          <w:tcPr>
            <w:tcW w:type="dxa" w:w="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C</w:t>
            </w:r>
          </w:p>
        </w:tc>
        <w:tc>
          <w:tcPr>
            <w:tcW w:type="dxa" w:w="2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Consulted</w:t>
            </w:r>
          </w:p>
        </w:tc>
        <w:tc>
          <w:tcPr>
            <w:tcW w:type="dxa" w:w="47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Wird um Rat gefragt (bidirektional)</w:t>
            </w:r>
          </w:p>
        </w:tc>
        <w:tc>
          <w:tcPr>
            <w:tcW w:type="dxa" w:w="1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mehrere</w:t>
            </w:r>
          </w:p>
        </w:tc>
      </w:tr>
      <w:tr>
        <w:tc>
          <w:tcPr>
            <w:tcW w:type="dxa" w:w="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I</w:t>
            </w:r>
          </w:p>
        </w:tc>
        <w:tc>
          <w:tcPr>
            <w:tcW w:type="dxa" w:w="2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Informed</w:t>
            </w:r>
          </w:p>
        </w:tc>
        <w:tc>
          <w:tcPr>
            <w:tcW w:type="dxa" w:w="47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Wird nur informiert</w:t>
            </w:r>
          </w:p>
        </w:tc>
        <w:tc>
          <w:tcPr>
            <w:tcW w:type="dxa" w:w="1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mehrere</w:t>
            </w:r>
          </w:p>
        </w:tc>
      </w:tr>
    </w:tbl>
    <w:p>
      <w:pPr>
        <w:spacing w:after="80" w:before="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single" w:color="F0A500" w:sz="6"/>
              <w:left w:val="single" w:color="F0A500" w:sz="12"/>
              <w:bottom w:val="single" w:color="D6E4F0" w:sz="2"/>
              <w:right w:val="single" w:color="D6E4F0" w:sz="2"/>
            </w:tcBorders>
            <w:shd w:fill="EEF5FB" w:val="clear"/>
            <w:tcMar>
              <w:top w:type="dxa" w:w="80"/>
              <w:left w:type="dxa" w:w="16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Aufgabe 1 – RACI ausfüllen (zu zweit)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Szenario: Ein Mitarbeiter meldet einen Ausfall des WLAN (Wireless Local Area Network). Der Helpdesk nimmt das Ticket an und eskaliert an den Netzwerkadministrator. Der IT-Leiter behält den Überblick. Die Netzwerkabteilung analysiert gemeinsam mit dem Cisco-Support (extern). Der Mitarbeiter wird laufend informiert. Tragen Sie R / A / C / I ein.</w:t>
            </w:r>
          </w:p>
        </w:tc>
      </w:tr>
    </w:tbl>
    <w:p>
      <w:pPr>
        <w:spacing w:after="60" w:before="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1500"/>
        <w:gridCol w:w="1500"/>
        <w:gridCol w:w="1500"/>
        <w:gridCol w:w="1846"/>
      </w:tblGrid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Aufgabe</w:t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Helpdesk</w:t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Netzwerk-Admin</w:t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IT-Leiter</w:t>
            </w:r>
          </w:p>
        </w:tc>
        <w:tc>
          <w:tcPr>
            <w:tcW w:type="dxa" w:w="18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Cisco-Support</w:t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Ticket erfassen</w:t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18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Fehler diagnostizieren</w:t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18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Lösung umsetzen</w:t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18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Mitarbeiter informieren</w:t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  <w:tc>
          <w:tcPr>
            <w:tcW w:type="dxa" w:w="18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spacing w:after="120" w:before="0"/>
      </w:pPr>
    </w:p>
    <w:p>
      <w:pPr>
        <w:pBdr>
          <w:bottom w:val="single" w:color="F0A500" w:sz="6"/>
        </w:pBdr>
        <w:shd w:fill="003366" w:val="clear"/>
        <w:spacing w:after="120" w:before="240"/>
        <w:ind w:left="120" w:right="120"/>
      </w:pPr>
      <w:r>
        <w:rPr>
          <w:rFonts w:ascii="Calibri" w:cs="Calibri" w:eastAsia="Calibri" w:hAnsi="Calibri"/>
          <w:b/>
          <w:bCs/>
          <w:color w:val="FFFFFF"/>
          <w:sz w:val="32"/>
          <w:szCs w:val="32"/>
        </w:rPr>
        <w:t xml:space="preserve">Block 2: Serviceanfrage, Störung &amp; Prozessablauf</w:t>
      </w:r>
    </w:p>
    <w:p>
      <w:pPr>
        <w:pBdr>
          <w:bottom w:val="single" w:color="D6E4F0" w:sz="3"/>
        </w:pBdr>
        <w:spacing w:after="80" w:before="2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Lernstoff kompakt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73"/>
        <w:gridCol w:w="4873"/>
      </w:tblGrid>
      <w:tr>
        <w:tc>
          <w:tcPr>
            <w:tcW w:type="dxa" w:w="487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Serviceanfrage (Request)</w:t>
            </w:r>
          </w:p>
        </w:tc>
        <w:tc>
          <w:tcPr>
            <w:tcW w:type="dxa" w:w="487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Störung (Incident)</w:t>
            </w:r>
          </w:p>
        </w:tc>
      </w:tr>
      <w:tr>
        <w:tc>
          <w:tcPr>
            <w:tcW w:type="dxa" w:w="487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Standardleistung, kein Fehler. Vom Nutzer angefordert, planbar, Normal-Priorität. Z. B. Konto anlegen, Passwort-Reset, Software-Installation.</w:t>
            </w:r>
          </w:p>
        </w:tc>
        <w:tc>
          <w:tcPr>
            <w:tcW w:type="dxa" w:w="487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Ungeplante Unterbrechung, Normalbetrieb beeinträchtigt, sofortige Reaktion nötig. Z. B. Server nicht erreichbar, Virtual Private Network (VPN) bricht ab.</w:t>
            </w:r>
          </w:p>
        </w:tc>
      </w:tr>
    </w:tbl>
    <w:p>
      <w:pPr>
        <w:spacing w:after="80" w:before="0"/>
      </w:pPr>
    </w:p>
    <w:p>
      <w:pPr>
        <w:spacing w:after="60" w:before="14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Prozessablauf Serviceanfrage:</w:t>
      </w:r>
    </w:p>
    <w:p>
      <w:pPr>
        <w:spacing w:after="80" w:before="8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Eingang → Erfassung → Klassifizierung → Prüfung (Berechtigung) → Bearbeitung (ggf. Eskalation) → Abschluss (schließen &amp; informieren) → optional: Feedback.</w:t>
      </w:r>
    </w:p>
    <w:p>
      <w:pPr>
        <w:spacing w:after="120" w:before="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single" w:color="F0A500" w:sz="6"/>
              <w:left w:val="single" w:color="F0A500" w:sz="12"/>
              <w:bottom w:val="single" w:color="D6E4F0" w:sz="2"/>
              <w:right w:val="single" w:color="D6E4F0" w:sz="2"/>
            </w:tcBorders>
            <w:shd w:fill="EEF5FB" w:val="clear"/>
            <w:tcMar>
              <w:top w:type="dxa" w:w="80"/>
              <w:left w:type="dxa" w:w="16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Aufgabe 2 – Request oder Störung? (Sortieraufgabe)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Ordnen Sie jede Meldung zu: R = Serviceanfrage / S = Störung.</w:t>
            </w:r>
          </w:p>
        </w:tc>
      </w:tr>
    </w:tbl>
    <w:p>
      <w:pPr>
        <w:spacing w:after="60" w:before="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46"/>
        <w:gridCol w:w="1400"/>
      </w:tblGrid>
      <w:tr>
        <w:tc>
          <w:tcPr>
            <w:tcW w:type="dxa" w:w="83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Meldung</w:t>
            </w:r>
          </w:p>
        </w:tc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R / S</w:t>
            </w:r>
          </w:p>
        </w:tc>
      </w:tr>
      <w:tr>
        <w:tc>
          <w:tcPr>
            <w:tcW w:type="dxa" w:w="83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Neuer Kollege braucht ein E-Mail-Konto.</w:t>
            </w:r>
          </w:p>
        </w:tc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3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Der Fileserver ist seit 9 Uhr nicht erreichbar.</w:t>
            </w:r>
          </w:p>
        </w:tc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3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Bitte Adobe Reader auf meinem PC installieren.</w:t>
            </w:r>
          </w:p>
        </w:tc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3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Das Kundensystem (CRM) zeigt seit heute Fehlermeldungen statt Daten.</w:t>
            </w:r>
          </w:p>
        </w:tc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3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Ich brauche Zugriff auf das Projektlaufwerk.</w:t>
            </w:r>
          </w:p>
        </w:tc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3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Der Drucker im 2. OG druckt nur noch leere Seiten.</w:t>
            </w:r>
          </w:p>
        </w:tc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3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Passwort vergessen – bitte zurücksetzen.</w:t>
            </w:r>
          </w:p>
        </w:tc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83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Die Telefonanlage ist komplett ausgefallen.</w:t>
            </w:r>
          </w:p>
        </w:tc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spacing w:after="120" w:before="0"/>
      </w:pPr>
    </w:p>
    <w:p>
      <w:pPr>
        <w:pBdr>
          <w:bottom w:val="single" w:color="F0A500" w:sz="6"/>
        </w:pBdr>
        <w:shd w:fill="003366" w:val="clear"/>
        <w:spacing w:after="120" w:before="240"/>
        <w:ind w:left="120" w:right="120"/>
      </w:pPr>
      <w:r>
        <w:rPr>
          <w:rFonts w:ascii="Calibri" w:cs="Calibri" w:eastAsia="Calibri" w:hAnsi="Calibri"/>
          <w:b/>
          <w:bCs/>
          <w:color w:val="FFFFFF"/>
          <w:sz w:val="32"/>
          <w:szCs w:val="32"/>
        </w:rPr>
        <w:t xml:space="preserve">Block 3: Rechtliche Anforderungen</w:t>
      </w:r>
    </w:p>
    <w:p>
      <w:pPr>
        <w:pBdr>
          <w:bottom w:val="single" w:color="D6E4F0" w:sz="3"/>
        </w:pBdr>
        <w:spacing w:after="80" w:before="2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Lernstoff kompakt</w:t>
      </w:r>
    </w:p>
    <w:p>
      <w:pPr>
        <w:spacing w:after="60" w:before="14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SLA &amp; OLA: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SLA: Vertrag mit dem Kunden über Art, Umfang, Qualität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Operational Level Agreement (OLA): interne Vereinbarung zwischen IT-Abteilungen, stützt das SLA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Wichtige Kennzahlen (KPI – Key Performance Indicator): MTTR (Mean Time to Repair, Ø Reparaturzeit), MTBF (Mean Time Between Failures), FCR (First Call Resolution), Uptime (Verfügbarkeit in %)</w:t>
      </w:r>
    </w:p>
    <w:p>
      <w:pPr>
        <w:spacing w:after="80" w:before="0"/>
      </w:pPr>
    </w:p>
    <w:p>
      <w:pPr>
        <w:spacing w:after="60" w:before="14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Gewährleistung vs. Garantie: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873"/>
        <w:gridCol w:w="3873"/>
      </w:tblGrid>
      <w:tr>
        <w:tc>
          <w:tcPr>
            <w:tcW w:type="dxa" w:w="20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/>
            </w:r>
          </w:p>
        </w:tc>
        <w:tc>
          <w:tcPr>
            <w:tcW w:type="dxa" w:w="387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Gewährleistung</w:t>
            </w:r>
          </w:p>
        </w:tc>
        <w:tc>
          <w:tcPr>
            <w:tcW w:type="dxa" w:w="387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Garantie</w:t>
            </w:r>
          </w:p>
        </w:tc>
      </w:tr>
      <w:tr>
        <w:tc>
          <w:tcPr>
            <w:tcW w:type="dxa" w:w="20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Grundlage</w:t>
            </w:r>
          </w:p>
        </w:tc>
        <w:tc>
          <w:tcPr>
            <w:tcW w:type="dxa" w:w="387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gesetzlich (Bürgerliches Gesetzbuch, §§ 434 ff.)</w:t>
            </w:r>
          </w:p>
        </w:tc>
        <w:tc>
          <w:tcPr>
            <w:tcW w:type="dxa" w:w="387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freiwillig (Hersteller/Händler)</w:t>
            </w:r>
          </w:p>
        </w:tc>
      </w:tr>
      <w:tr>
        <w:tc>
          <w:tcPr>
            <w:tcW w:type="dxa" w:w="20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Dauer</w:t>
            </w:r>
          </w:p>
        </w:tc>
        <w:tc>
          <w:tcPr>
            <w:tcW w:type="dxa" w:w="387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2 Jahre ab Übergabe</w:t>
            </w:r>
          </w:p>
        </w:tc>
        <w:tc>
          <w:tcPr>
            <w:tcW w:type="dxa" w:w="387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herstellerabhängig</w:t>
            </w:r>
          </w:p>
        </w:tc>
      </w:tr>
      <w:tr>
        <w:tc>
          <w:tcPr>
            <w:tcW w:type="dxa" w:w="20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Beweislast</w:t>
            </w:r>
          </w:p>
        </w:tc>
        <w:tc>
          <w:tcPr>
            <w:tcW w:type="dxa" w:w="387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nach 12 Monaten beim Käufer</w:t>
            </w:r>
          </w:p>
        </w:tc>
        <w:tc>
          <w:tcPr>
            <w:tcW w:type="dxa" w:w="387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meist beim Garantiegeber</w:t>
            </w:r>
          </w:p>
        </w:tc>
      </w:tr>
    </w:tbl>
    <w:p>
      <w:pPr>
        <w:spacing w:after="80" w:before="0"/>
      </w:pPr>
    </w:p>
    <w:p>
      <w:pPr>
        <w:spacing w:after="60" w:before="14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Datenschutz-Grundverordnung (DSGVO) im Servicekontext: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Datensparsamkeit – nur nötige Daten im Ticket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Zugriffsschutz – rollenbasierte Rechte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Fernwartung – Zustimmung + Dokumentation Pflicht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Datenpannen – Meldung innerhalb 72 Stunden</w:t>
      </w:r>
    </w:p>
    <w:p>
      <w:pPr>
        <w:spacing w:after="120" w:before="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single" w:color="F0A500" w:sz="6"/>
              <w:left w:val="single" w:color="F0A500" w:sz="12"/>
              <w:bottom w:val="single" w:color="D6E4F0" w:sz="2"/>
              <w:right w:val="single" w:color="D6E4F0" w:sz="2"/>
            </w:tcBorders>
            <w:shd w:fill="EEF5FB" w:val="clear"/>
            <w:tcMar>
              <w:top w:type="dxa" w:w="80"/>
              <w:left w:type="dxa" w:w="16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Aufgabe 3 – SLA-Rechnen (Kleingruppen)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SLA NordTech GmbH ↔ MedZentrum Lübeck: Verfügbarkeit 99,0 %/Monat (Mo–Fr, 07:00–18:00). Reaktionszeit Hoch: 1 Std. Pönale: 5 % Rabatt je angefangenem Prozentpunkt Unterschreitung.</w:t>
            </w:r>
          </w:p>
        </w:tc>
      </w:tr>
    </w:tbl>
    <w:p>
      <w:pPr>
        <w:spacing w:after="60" w:before="0"/>
      </w:pPr>
    </w:p>
    <w:p>
      <w:pPr>
        <w:spacing w:after="4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1.  Wie viele Stunden Ausfall sind bei 99,0 % maximal erlaubt? (Annahme: 23 Werktage à 11 Stunden)</w:t>
      </w:r>
    </w:p>
    <w:p>
      <w:pPr>
        <w:pBdr>
          <w:bottom w:val="single" w:color="D6E4F0" w:sz="2"/>
        </w:pBdr>
        <w:spacing w:after="220" w:before="0"/>
      </w:pPr>
    </w:p>
    <w:p>
      <w:pPr>
        <w:pBdr>
          <w:bottom w:val="single" w:color="D6E4F0" w:sz="2"/>
        </w:pBdr>
        <w:spacing w:after="220" w:before="0"/>
      </w:pPr>
    </w:p>
    <w:p>
      <w:pPr>
        <w:spacing w:after="4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2.  Server fällt Dienstag 10:00 Uhr aus. Bis wann muss bei Priorität Hoch reagiert sein?</w:t>
      </w:r>
    </w:p>
    <w:p>
      <w:pPr>
        <w:pBdr>
          <w:bottom w:val="single" w:color="D6E4F0" w:sz="2"/>
        </w:pBdr>
        <w:spacing w:after="220" w:before="0"/>
      </w:pPr>
    </w:p>
    <w:p>
      <w:pPr>
        <w:pBdr>
          <w:bottom w:val="single" w:color="D6E4F0" w:sz="2"/>
        </w:pBdr>
        <w:spacing w:after="220" w:before="0"/>
      </w:pPr>
    </w:p>
    <w:p>
      <w:pPr>
        <w:spacing w:after="4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3.  Oktober: 3,5 % Ausfallzeit. Welche Pönale? (Monatsrechnung: 4.200 €)</w:t>
      </w:r>
    </w:p>
    <w:p>
      <w:pPr>
        <w:pBdr>
          <w:bottom w:val="single" w:color="D6E4F0" w:sz="2"/>
        </w:pBdr>
        <w:spacing w:after="220" w:before="0"/>
      </w:pPr>
    </w:p>
    <w:p>
      <w:pPr>
        <w:pBdr>
          <w:bottom w:val="single" w:color="D6E4F0" w:sz="2"/>
        </w:pBdr>
        <w:spacing w:after="220" w:before="0"/>
      </w:pPr>
    </w:p>
    <w:p>
      <w:pPr>
        <w:spacing w:after="40" w:before="6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4.  Nennen Sie zwei DSGVO-Aspekte bei der Ticketbearbeitung für MedZentrum (Gesundheitsdaten!).</w:t>
      </w:r>
    </w:p>
    <w:p>
      <w:pPr>
        <w:pBdr>
          <w:bottom w:val="single" w:color="D6E4F0" w:sz="2"/>
        </w:pBdr>
        <w:spacing w:after="220" w:before="0"/>
      </w:pPr>
    </w:p>
    <w:p>
      <w:pPr>
        <w:pBdr>
          <w:bottom w:val="single" w:color="D6E4F0" w:sz="2"/>
        </w:pBdr>
        <w:spacing w:after="220" w:before="0"/>
      </w:pPr>
    </w:p>
    <w:p>
      <w:pPr>
        <w:spacing w:after="120" w:before="0"/>
      </w:pPr>
    </w:p>
    <w:p>
      <w:pPr>
        <w:pBdr>
          <w:bottom w:val="single" w:color="F0A500" w:sz="6"/>
        </w:pBdr>
        <w:shd w:fill="003366" w:val="clear"/>
        <w:spacing w:after="120" w:before="240"/>
        <w:ind w:left="120" w:right="120"/>
      </w:pPr>
      <w:r>
        <w:rPr>
          <w:rFonts w:ascii="Calibri" w:cs="Calibri" w:eastAsia="Calibri" w:hAnsi="Calibri"/>
          <w:b/>
          <w:bCs/>
          <w:color w:val="FFFFFF"/>
          <w:sz w:val="32"/>
          <w:szCs w:val="32"/>
        </w:rPr>
        <w:t xml:space="preserve">Zusammenfassung Tag 1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Servicearten: intern/extern, reaktiv/proaktiv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Serviceprozesse: Request, Incident, Change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RACI: R (ausführend), A (verantwortlich, genau 1), C (beraten), I (informiert)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Serviceanfrage = Standard / Störung = ungeplanter Ausfall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SLA (Kunde) / OLA (intern); KPIs: MTTR, MTBF, FCR, Uptime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Gewährleistung (gesetzlich) vs. Garantie (freiwillig)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DSGVO: Datensparsamkeit, Zugriffsschutz, Fernwartung, 72-Std-Meldung</w:t>
      </w:r>
    </w:p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/>
      </w:pBdr>
      <w:jc w:val="right"/>
    </w:pPr>
    <w:r>
      <w:rPr>
        <w:rFonts w:ascii="Calibri" w:cs="Calibri" w:eastAsia="Calibri" w:hAnsi="Calibri"/>
        <w:color w:val="555555"/>
        <w:sz w:val="16"/>
        <w:szCs w:val="16"/>
      </w:rPr>
      <w:t xml:space="preserve">bfw – Unternehmen für Bildung  |  Standort Lübeck  |  </w:t>
    </w:r>
    <w:r>
      <w:rPr>
        <w:rFonts w:ascii="Calibri" w:cs="Calibri" w:eastAsia="Calibri" w:hAnsi="Calibri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55555"/>
        <w:sz w:val="16"/>
        <w:szCs w:val="16"/>
      </w:rPr>
      <w:t xml:space="preserve"> / </w:t>
    </w:r>
    <w:r>
      <w:rPr>
        <w:rFonts w:ascii="Calibri" w:cs="Calibri" w:eastAsia="Calibri" w:hAnsi="Calibri"/>
        <w:color w:val="55555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4"/>
      </w:pBdr>
    </w:pPr>
    <w:r>
      <w:rPr>
        <w:rFonts w:ascii="Calibri" w:cs="Calibri" w:eastAsia="Calibri" w:hAnsi="Calibri"/>
        <w:color w:val="D6E4F0"/>
        <w:sz w:val="16"/>
        <w:szCs w:val="16"/>
      </w:rPr>
      <w:t xml:space="preserve">Modul G – Serviceanfragen  |  Tag 1  |  Schüler-Aufgabenheft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2026-05-28T05:03:10.559Z</dcterms:created>
  <dcterms:modified xsi:type="dcterms:W3CDTF">2026-05-28T05:03:10.560Z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