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240"/>
      </w:pPr>
      <w:r>
        <w:rPr>
          <w:rFonts w:ascii="Calibri" w:cs="Calibri" w:eastAsia="Calibri" w:hAnsi="Calibri"/>
          <w:b/>
          <w:bCs/>
          <w:color w:val="003366"/>
          <w:sz w:val="44"/>
          <w:szCs w:val="44"/>
        </w:rPr>
        <w:t xml:space="preserve">Modul G – Serviceanfragen</w:t>
      </w:r>
    </w:p>
    <w:p>
      <w:pPr>
        <w:spacing w:after="60"/>
      </w:pPr>
      <w:r>
        <w:rPr>
          <w:rFonts w:ascii="Calibri" w:cs="Calibri" w:eastAsia="Calibri" w:hAnsi="Calibri"/>
          <w:color w:val="0066AA"/>
          <w:sz w:val="32"/>
          <w:szCs w:val="32"/>
        </w:rPr>
        <w:t xml:space="preserve">Abkürzungsverzeichnis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55555"/>
          <w:sz w:val="20"/>
          <w:szCs w:val="20"/>
        </w:rPr>
        <w:t xml:space="preserve">Gültig für alle drei Modultage. Aufbewahren und bei jeder Übung griffbereit halten.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3400"/>
        <w:gridCol w:w="4046"/>
        <w:gridCol w:w="900"/>
      </w:tblGrid>
      <w:tr>
        <w:trPr>
          <w:tblHeader/>
        </w:trP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Abk.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Vollform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Deutsche Bedeutung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Tag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API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Application Programming Interface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Programmierschnittstelle zwischen Anwendungen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APM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Application Performance Monitoring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Überwachung der Anwendungsleistung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BGB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Bürgerliches Gesetzbuch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Zentrales deutsches Zivilgesetzbuch (Gewährleistung: §§ 434 ff.)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CPU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Central Processing Unit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Hauptprozessor eines Rechners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CRM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Customer Relationship Management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Kundenbeziehungsmanagement (auch: entsprechende Software)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1, 2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CSAT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Customer Satisfaction (Score)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Kennzahl für Kundenzufriedenheit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DNS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Domain Name System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Übersetzt Domainnamen in IP-Adressen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DSGVO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Datenschutz-Grundverordnung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EU-Verordnung zum Schutz personenbezogener Daten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FCR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First Call Resolution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Erstlösungsquote – Anteil beim Erstkontakt gelöster Anfragen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1, 2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HTTP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Hypertext Transfer Protocol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Übertragungsprotokoll für Webseiten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IT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Information Technology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Informationstechnik / Informationstechnologie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1, 2, 3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KEDB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Known Error Database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Datenbank bekannter Fehler mit dokumentierten Workarounds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KMU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—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Kleine und mittlere Unternehmen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KPI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Key Performance Indicator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Leistungskennzahl zur Messung von Zielerreichung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1, 2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MTBF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Mean Time Between Failures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Mittlere Betriebsdauer zwischen zwei Ausfällen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MTTR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Mean Time to Repair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Mittlere Reparatur- bzw. Wiederherstellungszeit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1, 2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MTU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Maximum Transmission Unit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Maximale Paketgröße bei der Datenübertragung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OLA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Operational Level Agreement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Interne Vereinbarung zwischen IT-Abteilungen (stützt das SLA)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OS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Operating System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Betriebssystem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OTRS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Open Ticket Request System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Open-Source-Ticketsystem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PC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Personal Computer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Arbeitsplatzrechner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1, 2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RACI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Responsible, Accountable, Consulted, Informed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Matrix zur Klärung von Verantwortlichkeiten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RAM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Random Access Memory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Arbeitsspeicher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SaaS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Software as a Service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Software-Nutzung als Online-Dienst (ohne lokale Installation)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SIEM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Security Information and Event Management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System zur Auswertung sicherheitsrelevanter Ereignisse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SLA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Service Level Agreement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Dienstgütevereinbarung zwischen Kunde und Dienstleister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1, 2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SMTP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Simple Mail Transfer Protocol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Übertragungsprotokoll für E-Mail-Versand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VPN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Virtual Private Network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Verschlüsselte Netzwerkverbindung über ein öffentliches Netz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1, 2</w:t>
            </w:r>
          </w:p>
        </w:tc>
      </w:tr>
      <w:tr>
        <w:tc>
          <w:tcPr>
            <w:tcW w:type="dxa" w:w="1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WLAN</w:t>
            </w:r>
          </w:p>
        </w:tc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Wireless Local Area Network</w:t>
            </w:r>
          </w:p>
        </w:tc>
        <w:tc>
          <w:tcPr>
            <w:tcW w:type="dxa" w:w="404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Drahtloses lokales Netzwerk</w:t>
            </w:r>
          </w:p>
        </w:tc>
        <w:tc>
          <w:tcPr>
            <w:tcW w:type="dxa" w:w="9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>1, 2</w:t>
            </w:r>
          </w:p>
        </w:tc>
      </w:tr>
    </w:tbl>
    <w:p>
      <w:pPr>
        <w:spacing w:before="160"/>
      </w:pPr>
      <w:r>
        <w:rPr>
          <w:rFonts w:ascii="Calibri" w:cs="Calibri" w:eastAsia="Calibri" w:hAnsi="Calibri"/>
          <w:i/>
          <w:iCs/>
          <w:color w:val="555555"/>
          <w:sz w:val="18"/>
          <w:szCs w:val="18"/>
        </w:rPr>
        <w:t xml:space="preserve">Hinweis: Englische Vollformen sind Originalbegriffe; die deutsche Spalte erklärt die Bedeutung für die Prüfung.</w:t>
      </w:r>
    </w:p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/>
      </w:pBdr>
      <w:jc w:val="right"/>
    </w:pPr>
    <w:r>
      <w:rPr>
        <w:rFonts w:ascii="Calibri" w:cs="Calibri" w:eastAsia="Calibri" w:hAnsi="Calibri"/>
        <w:color w:val="555555"/>
        <w:sz w:val="16"/>
        <w:szCs w:val="16"/>
      </w:rPr>
      <w:t xml:space="preserve">bfw – Unternehmen für Bildung  |  Standort Lübeck  | 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6"/>
        <w:szCs w:val="16"/>
      </w:rPr>
      <w:t xml:space="preserve"> /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/>
      </w:pBdr>
    </w:pPr>
    <w:r>
      <w:rPr>
        <w:rFonts w:ascii="Calibri" w:cs="Calibri" w:eastAsia="Calibri" w:hAnsi="Calibri"/>
        <w:color w:val="D6E4F0"/>
        <w:sz w:val="16"/>
        <w:szCs w:val="16"/>
      </w:rPr>
      <w:t xml:space="preserve">Modul G – Serviceanfragen  |  Abkürzungsverzeichnis  |  bfw – Unternehmen für Bildung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2026-05-28T05:01:36.023Z</dcterms:created>
  <dcterms:modified xsi:type="dcterms:W3CDTF">2026-05-28T05:01:36.036Z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