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66AA"/>
          <w:sz w:val="20"/>
          <w:szCs w:val="20"/>
        </w:rPr>
        <w:t xml:space="preserve">bfw Lübeck · Umschulung Fachinformatiker*in</w:t>
      </w:r>
    </w:p>
    <w:p>
      <w:pPr>
        <w:pBdr>
          <w:bottom w:val="single" w:color="F0A500" w:sz="18" w:space="6"/>
        </w:pBdr>
        <w:spacing w:after="60"/>
      </w:pPr>
      <w:r>
        <w:rPr>
          <w:rFonts w:ascii="Calibri" w:cs="Calibri" w:eastAsia="Calibri" w:hAnsi="Calibri"/>
          <w:b/>
          <w:bCs/>
          <w:color w:val="003366"/>
          <w:sz w:val="44"/>
          <w:szCs w:val="44"/>
        </w:rPr>
        <w:t xml:space="preserve">Modul M – Lernfeld 12</w:t>
      </w:r>
    </w:p>
    <w:p>
      <w:pPr>
        <w:spacing w:after="40" w:before="160"/>
      </w:pPr>
      <w:r>
        <w:rPr>
          <w:rFonts w:ascii="Calibri" w:cs="Calibri" w:eastAsia="Calibri" w:hAnsi="Calibri"/>
          <w:color w:val="003366"/>
          <w:sz w:val="26"/>
          <w:szCs w:val="26"/>
        </w:rPr>
        <w:t xml:space="preserve">Kundenspezifische Systemintegration bzw. Anwendungsentwicklung durchführen</w:t>
      </w:r>
    </w:p>
    <w:p>
      <w:pPr>
        <w:spacing w:after="300" w:before="0" w:line="276"/>
      </w:pPr>
      <w:r>
        <w:rPr>
          <w:rFonts w:ascii="Calibri" w:cs="Calibri" w:eastAsia="Calibri" w:hAnsi="Calibri"/>
          <w:i/>
          <w:iCs/>
          <w:color w:val="444444"/>
          <w:sz w:val="21"/>
          <w:szCs w:val="21"/>
        </w:rPr>
        <w:t xml:space="preserve">Kursablaufplan und Etappenübersicht für beide Fachrichtungen (FIAE und FISI)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Rahmendaten</w:t>
            </w:r>
          </w:p>
        </w:tc>
        <w:tc>
          <w:tcPr>
            <w:tcW w:type="dxa" w:w="64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Angabe</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Lernfeld</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LF12 – Abschluss-Lernfeld beider Fachrichtungen</w:t>
            </w:r>
          </w:p>
        </w:tc>
      </w:tr>
      <w:tr>
        <w:tc>
          <w:tcPr>
            <w:tcW w:type="dxa" w:w="2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Fachrichtungen</w:t>
            </w:r>
          </w:p>
        </w:tc>
        <w:tc>
          <w:tcPr>
            <w:tcW w:type="dxa" w:w="6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FIAE und FISI, gemeinsamer Prozessrahmen mit getrennten Fachspuren</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Umfang</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654 UE à 45 Minuten (entspricht 490,5 Zeitstunden)</w:t>
            </w:r>
          </w:p>
        </w:tc>
      </w:tr>
      <w:tr>
        <w:tc>
          <w:tcPr>
            <w:tcW w:type="dxa" w:w="2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Dauer</w:t>
            </w:r>
          </w:p>
        </w:tc>
        <w:tc>
          <w:tcPr>
            <w:tcW w:type="dxa" w:w="6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rund 14 Wochen bei 46 UE je Woche</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Etappen</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8 Etappen, davon 2 fachrichtungsgetrennt (E4 und E8)</w:t>
            </w:r>
          </w:p>
        </w:tc>
      </w:tr>
      <w:tr>
        <w:tc>
          <w:tcPr>
            <w:tcW w:type="dxa" w:w="2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Leistungsnachweise</w:t>
            </w:r>
          </w:p>
        </w:tc>
        <w:tc>
          <w:tcPr>
            <w:tcW w:type="dxa" w:w="6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Zwischenklausur nach E3, Capstone-Projekt in E8</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Stand</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Juli 2026</w:t>
            </w:r>
          </w:p>
        </w:tc>
      </w:tr>
    </w:tbl>
    <w:p>
      <w:r>
        <w:br w:type="page"/>
      </w:r>
    </w:p>
    <w:p>
      <w:pPr>
        <w:pStyle w:val="Heading1"/>
        <w:pBdr>
          <w:bottom w:val="single" w:color="F0A500" w:sz="12" w:space="4"/>
        </w:pBdr>
        <w:spacing w:after="180" w:before="360"/>
      </w:pPr>
      <w:r>
        <w:rPr>
          <w:rFonts w:ascii="Calibri" w:cs="Calibri" w:eastAsia="Calibri" w:hAnsi="Calibri"/>
          <w:b/>
          <w:bCs/>
          <w:color w:val="003366"/>
          <w:sz w:val="30"/>
          <w:szCs w:val="30"/>
        </w:rPr>
        <w:t xml:space="preserve">1  Didaktische Leitidee</w:t>
      </w:r>
    </w:p>
    <w:p>
      <w:pPr>
        <w:spacing w:after="120" w:before="0" w:line="276"/>
      </w:pPr>
      <w:r>
        <w:rPr>
          <w:rFonts w:ascii="Calibri" w:cs="Calibri" w:eastAsia="Calibri" w:hAnsi="Calibri"/>
          <w:color w:val="1A1A1A"/>
          <w:sz w:val="21"/>
          <w:szCs w:val="21"/>
        </w:rPr>
        <w:t xml:space="preserve">Lernfeld 12 beschreibt in beiden Fachrichtungen denselben Prozess: einen Kundenauftrag von der ersten Anfrage bis zur Übergabe vollständig zu durchlaufen. Unterschiedlich ist allein der fachliche Kern der Umsetzung. Das Modul wird deshalb als ein gemeinsames Modul geführt und nicht als zwei getrennte Kurse.</w:t>
      </w:r>
    </w:p>
    <w:p>
      <w:pPr>
        <w:pStyle w:val="Heading2"/>
        <w:spacing w:after="120" w:before="280"/>
      </w:pPr>
      <w:r>
        <w:rPr>
          <w:rFonts w:ascii="Calibri" w:cs="Calibri" w:eastAsia="Calibri" w:hAnsi="Calibri"/>
          <w:b/>
          <w:bCs/>
          <w:color w:val="0066AA"/>
          <w:sz w:val="25"/>
          <w:szCs w:val="25"/>
        </w:rPr>
        <w:t xml:space="preserve">1.1  Gemeinsamer Rahmen, zwei Fachspuren</w:t>
      </w:r>
    </w:p>
    <w:p>
      <w:pPr>
        <w:pStyle w:val="ListParagraph"/>
        <w:numPr>
          <w:ilvl w:val="0"/>
          <w:numId w:val="2"/>
        </w:numPr>
        <w:spacing w:after="60" w:line="264"/>
      </w:pPr>
      <w:r>
        <w:rPr>
          <w:rFonts w:ascii="Calibri" w:cs="Calibri" w:eastAsia="Calibri" w:hAnsi="Calibri"/>
          <w:color w:val="1A1A1A"/>
          <w:sz w:val="21"/>
          <w:szCs w:val="21"/>
        </w:rPr>
        <w:t xml:space="preserve">Sechs der acht Etappen (E1, E2, E3, E5, E6, E7) laufen für beide Gruppen gemeinsam – identische Inhalte, identische Materialien.</w:t>
      </w:r>
    </w:p>
    <w:p>
      <w:pPr>
        <w:pStyle w:val="ListParagraph"/>
        <w:numPr>
          <w:ilvl w:val="0"/>
          <w:numId w:val="2"/>
        </w:numPr>
        <w:spacing w:after="60" w:line="264"/>
      </w:pPr>
      <w:r>
        <w:rPr>
          <w:rFonts w:ascii="Calibri" w:cs="Calibri" w:eastAsia="Calibri" w:hAnsi="Calibri"/>
          <w:color w:val="1A1A1A"/>
          <w:sz w:val="21"/>
          <w:szCs w:val="21"/>
        </w:rPr>
        <w:t xml:space="preserve">Zwei Etappen (E4 Umsetzung und E8 Capstone) laufen fachrichtungsgetrennt mit eigenen Materialsätzen.</w:t>
      </w:r>
    </w:p>
    <w:p>
      <w:pPr>
        <w:pStyle w:val="ListParagraph"/>
        <w:numPr>
          <w:ilvl w:val="0"/>
          <w:numId w:val="2"/>
        </w:numPr>
        <w:spacing w:after="60" w:line="264"/>
      </w:pPr>
      <w:r>
        <w:rPr>
          <w:rFonts w:ascii="Calibri" w:cs="Calibri" w:eastAsia="Calibri" w:hAnsi="Calibri"/>
          <w:color w:val="1A1A1A"/>
          <w:sz w:val="21"/>
          <w:szCs w:val="21"/>
        </w:rPr>
        <w:t xml:space="preserve">E5 ist gemeinsam, enthält aber je einen fachrichtungsspezifischen Aufgabenteil.</w:t>
      </w:r>
    </w:p>
    <w:p>
      <w:pPr>
        <w:spacing w:after="200" w:before="0" w:line="276"/>
      </w:pPr>
      <w:r>
        <w:rPr>
          <w:rFonts w:ascii="Calibri" w:cs="Calibri" w:eastAsia="Calibri" w:hAnsi="Calibri"/>
          <w:color w:val="1A1A1A"/>
          <w:sz w:val="21"/>
          <w:szCs w:val="21"/>
        </w:rPr>
        <w:t xml:space="preserve">Damit entfällt rund die Hälfte des Erstellungsaufwands gegenüber zwei getrennten Modulen, ohne dass fachliche Tiefe verloren geht.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0A500" w:sz="6"/>
              <w:left w:val="single" w:color="F0A500" w:sz="18"/>
              <w:bottom w:val="single" w:color="F0A500" w:sz="6"/>
              <w:right w:val="single" w:color="F0A500" w:sz="6"/>
            </w:tcBorders>
            <w:shd w:fill="FFF4DC" w:color="auto" w:val="clear"/>
            <w:tcMar>
              <w:top w:type="dxa" w:w="120"/>
              <w:left w:type="dxa" w:w="160"/>
              <w:bottom w:type="dxa" w:w="120"/>
              <w:right w:type="dxa" w:w="160"/>
            </w:tcMar>
          </w:tcPr>
          <w:p>
            <w:pPr>
              <w:spacing w:after="60"/>
            </w:pPr>
            <w:r>
              <w:rPr>
                <w:rFonts w:ascii="Calibri" w:cs="Calibri" w:eastAsia="Calibri" w:hAnsi="Calibri"/>
                <w:b/>
                <w:bCs/>
                <w:color w:val="8A5A00"/>
                <w:sz w:val="21"/>
                <w:szCs w:val="21"/>
              </w:rPr>
              <w:t xml:space="preserve">Bewusste Entscheidung: E3 ist kurz gehalten</w:t>
            </w:r>
          </w:p>
          <w:p>
            <w:pPr>
              <w:spacing w:after="40" w:line="264"/>
            </w:pPr>
            <w:r>
              <w:rPr>
                <w:rFonts w:ascii="Calibri" w:cs="Calibri" w:eastAsia="Calibri" w:hAnsi="Calibri"/>
                <w:color w:val="1A1A1A"/>
                <w:sz w:val="20"/>
                <w:szCs w:val="20"/>
              </w:rPr>
              <w:t xml:space="preserve">Netzplantechnik, kritischer Pfad und die Vorgehensmodelle sind in Modul E (Projektmanagement) bereits vollständig behandelt worden.</w:t>
            </w:r>
          </w:p>
          <w:p>
            <w:pPr>
              <w:spacing w:after="40" w:line="264"/>
            </w:pPr>
            <w:r>
              <w:rPr>
                <w:rFonts w:ascii="Calibri" w:cs="Calibri" w:eastAsia="Calibri" w:hAnsi="Calibri"/>
                <w:color w:val="1A1A1A"/>
                <w:sz w:val="20"/>
                <w:szCs w:val="20"/>
              </w:rPr>
              <w:t xml:space="preserve">In E3 wird die Methodik nur in vier UE aufgefrischt; der Schwerpunkt liegt auf der Anwendung auf den konkreten Kundenauftrag.</w:t>
            </w:r>
          </w:p>
          <w:p>
            <w:pPr>
              <w:spacing w:after="40" w:line="264"/>
            </w:pPr>
            <w:r>
              <w:rPr>
                <w:rFonts w:ascii="Calibri" w:cs="Calibri" w:eastAsia="Calibri" w:hAnsi="Calibri"/>
                <w:color w:val="1A1A1A"/>
                <w:sz w:val="20"/>
                <w:szCs w:val="20"/>
              </w:rPr>
              <w:t xml:space="preserve">Eine erneute Herleitung würde rund 30 UE verbrennen, die im Capstone besser aufgehoben sind.</w:t>
            </w:r>
          </w:p>
        </w:tc>
      </w:tr>
    </w:tbl>
    <w:p>
      <w:pPr>
        <w:spacing w:after="120" w:before="0" w:line="276"/>
      </w:pPr>
      <w:r>
        <w:rPr>
          <w:rFonts w:ascii="Calibri" w:cs="Calibri" w:eastAsia="Calibri" w:hAnsi="Calibri"/>
          <w:color w:val="1A1A1A"/>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0A500" w:sz="6"/>
              <w:left w:val="single" w:color="F0A500" w:sz="18"/>
              <w:bottom w:val="single" w:color="F0A500" w:sz="6"/>
              <w:right w:val="single" w:color="F0A500" w:sz="6"/>
            </w:tcBorders>
            <w:shd w:fill="FFF4DC" w:color="auto" w:val="clear"/>
            <w:tcMar>
              <w:top w:type="dxa" w:w="120"/>
              <w:left w:type="dxa" w:w="160"/>
              <w:bottom w:type="dxa" w:w="120"/>
              <w:right w:type="dxa" w:w="160"/>
            </w:tcMar>
          </w:tcPr>
          <w:p>
            <w:pPr>
              <w:spacing w:after="60"/>
            </w:pPr>
            <w:r>
              <w:rPr>
                <w:rFonts w:ascii="Calibri" w:cs="Calibri" w:eastAsia="Calibri" w:hAnsi="Calibri"/>
                <w:b/>
                <w:bCs/>
                <w:color w:val="8A5A00"/>
                <w:sz w:val="21"/>
                <w:szCs w:val="21"/>
              </w:rPr>
              <w:t xml:space="preserve">Bewusste Entscheidung: kein Gesamtklausur-Abschluss</w:t>
            </w:r>
          </w:p>
          <w:p>
            <w:pPr>
              <w:spacing w:after="40" w:line="264"/>
            </w:pPr>
            <w:r>
              <w:rPr>
                <w:rFonts w:ascii="Calibri" w:cs="Calibri" w:eastAsia="Calibri" w:hAnsi="Calibri"/>
                <w:color w:val="1A1A1A"/>
                <w:sz w:val="20"/>
                <w:szCs w:val="20"/>
              </w:rPr>
              <w:t xml:space="preserve">Eine klassische Abschlussklausur über LF12 würde messen, was das Lernfeld gerade nicht ausmacht.</w:t>
            </w:r>
          </w:p>
          <w:p>
            <w:pPr>
              <w:spacing w:after="40" w:line="264"/>
            </w:pPr>
            <w:r>
              <w:rPr>
                <w:rFonts w:ascii="Calibri" w:cs="Calibri" w:eastAsia="Calibri" w:hAnsi="Calibri"/>
                <w:color w:val="1A1A1A"/>
                <w:sz w:val="20"/>
                <w:szCs w:val="20"/>
              </w:rPr>
              <w:t xml:space="preserve">Der Leistungsnachweis liegt im Capstone: Projektdokumentation, Präsentation und Fachgespräch – im Format der AP2 Teil A.</w:t>
            </w:r>
          </w:p>
          <w:p>
            <w:pPr>
              <w:spacing w:after="40" w:line="264"/>
            </w:pPr>
            <w:r>
              <w:rPr>
                <w:rFonts w:ascii="Calibri" w:cs="Calibri" w:eastAsia="Calibri" w:hAnsi="Calibri"/>
                <w:color w:val="1A1A1A"/>
                <w:sz w:val="20"/>
                <w:szCs w:val="20"/>
              </w:rPr>
              <w:t xml:space="preserve">Eine kurze Zwischenklausur nach E3 sichert den Theorieblock ab. Das genügt.</w:t>
            </w:r>
          </w:p>
        </w:tc>
      </w:tr>
    </w:tbl>
    <w:p>
      <w:pPr>
        <w:pStyle w:val="Heading2"/>
        <w:spacing w:after="120" w:before="280"/>
      </w:pPr>
      <w:r>
        <w:rPr>
          <w:rFonts w:ascii="Calibri" w:cs="Calibri" w:eastAsia="Calibri" w:hAnsi="Calibri"/>
          <w:b/>
          <w:bCs/>
          <w:color w:val="0066AA"/>
          <w:sz w:val="25"/>
          <w:szCs w:val="25"/>
        </w:rPr>
        <w:t xml:space="preserve">1.2  Anschluss an vorhandene Module</w:t>
      </w:r>
    </w:p>
    <w:p>
      <w:pPr>
        <w:pStyle w:val="ListParagraph"/>
        <w:numPr>
          <w:ilvl w:val="0"/>
          <w:numId w:val="2"/>
        </w:numPr>
        <w:spacing w:after="60" w:line="264"/>
      </w:pPr>
      <w:r>
        <w:rPr>
          <w:rFonts w:ascii="Calibri" w:cs="Calibri" w:eastAsia="Calibri" w:hAnsi="Calibri"/>
          <w:color w:val="1A1A1A"/>
          <w:sz w:val="21"/>
          <w:szCs w:val="21"/>
        </w:rPr>
        <w:t xml:space="preserve">Modul E (Projektmanagement): liefert die Methodik, die in E3 nur angewendet wird.</w:t>
      </w:r>
    </w:p>
    <w:p>
      <w:pPr>
        <w:pStyle w:val="ListParagraph"/>
        <w:numPr>
          <w:ilvl w:val="0"/>
          <w:numId w:val="2"/>
        </w:numPr>
        <w:spacing w:after="60" w:line="264"/>
      </w:pPr>
      <w:r>
        <w:rPr>
          <w:rFonts w:ascii="Calibri" w:cs="Calibri" w:eastAsia="Calibri" w:hAnsi="Calibri"/>
          <w:color w:val="1A1A1A"/>
          <w:sz w:val="21"/>
          <w:szCs w:val="21"/>
        </w:rPr>
        <w:t xml:space="preserve">Modul G (Serviceanfragen): Ticketprozess und Rollenspielformat werden in E1 und E7 wiederverwendet.</w:t>
      </w:r>
    </w:p>
    <w:p>
      <w:pPr>
        <w:pStyle w:val="ListParagraph"/>
        <w:numPr>
          <w:ilvl w:val="0"/>
          <w:numId w:val="2"/>
        </w:numPr>
        <w:spacing w:after="60" w:line="264"/>
      </w:pPr>
      <w:r>
        <w:rPr>
          <w:rFonts w:ascii="Calibri" w:cs="Calibri" w:eastAsia="Calibri" w:hAnsi="Calibri"/>
          <w:color w:val="1A1A1A"/>
          <w:sz w:val="21"/>
          <w:szCs w:val="21"/>
        </w:rPr>
        <w:t xml:space="preserve">Modul K/L (FISI): Server-, Netz- und Sicherheitswissen ist Voraussetzung für die FISI-Spur in E4.</w:t>
      </w:r>
    </w:p>
    <w:p>
      <w:pPr>
        <w:pStyle w:val="ListParagraph"/>
        <w:numPr>
          <w:ilvl w:val="0"/>
          <w:numId w:val="2"/>
        </w:numPr>
        <w:spacing w:after="60" w:line="264"/>
      </w:pPr>
      <w:r>
        <w:rPr>
          <w:rFonts w:ascii="Calibri" w:cs="Calibri" w:eastAsia="Calibri" w:hAnsi="Calibri"/>
          <w:color w:val="1A1A1A"/>
          <w:sz w:val="21"/>
          <w:szCs w:val="21"/>
        </w:rPr>
        <w:t xml:space="preserve">AP2-Vorbereitungspaket: die Freitagsschleife mit Altaufgaben läuft wie in Modul L durchgehend mit.</w:t>
      </w:r>
    </w:p>
    <w:p>
      <w:r>
        <w:br w:type="page"/>
      </w:r>
    </w:p>
    <w:p>
      <w:pPr>
        <w:pStyle w:val="Heading1"/>
        <w:pBdr>
          <w:bottom w:val="single" w:color="F0A500" w:sz="12" w:space="4"/>
        </w:pBdr>
        <w:spacing w:after="180" w:before="360"/>
      </w:pPr>
      <w:r>
        <w:rPr>
          <w:rFonts w:ascii="Calibri" w:cs="Calibri" w:eastAsia="Calibri" w:hAnsi="Calibri"/>
          <w:b/>
          <w:bCs/>
          <w:color w:val="003366"/>
          <w:sz w:val="30"/>
          <w:szCs w:val="30"/>
        </w:rPr>
        <w:t xml:space="preserve">2  UE-Verteilung und Ablauf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3626"/>
        <w:gridCol w:w="1500"/>
        <w:gridCol w:w="1000"/>
        <w:gridCol w:w="2200"/>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center"/>
            </w:pPr>
            <w:r>
              <w:rPr>
                <w:rFonts w:ascii="Calibri" w:cs="Calibri" w:eastAsia="Calibri" w:hAnsi="Calibri"/>
                <w:b/>
                <w:bCs/>
                <w:color w:val="FFFFFF"/>
                <w:sz w:val="20"/>
                <w:szCs w:val="20"/>
              </w:rPr>
              <w:t xml:space="preserve">Nr.</w:t>
            </w:r>
          </w:p>
        </w:tc>
        <w:tc>
          <w:tcPr>
            <w:tcW w:type="dxa" w:w="36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Etappe</w:t>
            </w:r>
          </w:p>
        </w:tc>
        <w:tc>
          <w:tcPr>
            <w:tcW w:type="dxa" w:w="15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center"/>
            </w:pPr>
            <w:r>
              <w:rPr>
                <w:rFonts w:ascii="Calibri" w:cs="Calibri" w:eastAsia="Calibri" w:hAnsi="Calibri"/>
                <w:b/>
                <w:bCs/>
                <w:color w:val="FFFFFF"/>
                <w:sz w:val="20"/>
                <w:szCs w:val="20"/>
              </w:rPr>
              <w:t xml:space="preserve">Spur</w:t>
            </w:r>
          </w:p>
        </w:tc>
        <w:tc>
          <w:tcPr>
            <w:tcW w:type="dxa" w:w="10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center"/>
            </w:pPr>
            <w:r>
              <w:rPr>
                <w:rFonts w:ascii="Calibri" w:cs="Calibri" w:eastAsia="Calibri" w:hAnsi="Calibri"/>
                <w:b/>
                <w:bCs/>
                <w:color w:val="FFFFFF"/>
                <w:sz w:val="20"/>
                <w:szCs w:val="20"/>
              </w:rPr>
              <w:t xml:space="preserve">UE</w:t>
            </w:r>
          </w:p>
        </w:tc>
        <w:tc>
          <w:tcPr>
            <w:tcW w:type="dxa" w:w="22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center"/>
            </w:pPr>
            <w:r>
              <w:rPr>
                <w:rFonts w:ascii="Calibri" w:cs="Calibri" w:eastAsia="Calibri" w:hAnsi="Calibri"/>
                <w:b/>
                <w:bCs/>
                <w:color w:val="FFFFFF"/>
                <w:sz w:val="20"/>
                <w:szCs w:val="20"/>
              </w:rPr>
              <w:t xml:space="preserve">Woche</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E1</w:t>
            </w:r>
          </w:p>
        </w:tc>
        <w:tc>
          <w:tcPr>
            <w:tcW w:type="dxa" w:w="36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Kundenauftrag und Anforderungsanalyse</w:t>
            </w:r>
          </w:p>
        </w:tc>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gemeinsam</w:t>
            </w:r>
          </w:p>
        </w:tc>
        <w:tc>
          <w:tcPr>
            <w:tcW w:type="dxa" w:w="1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70</w:t>
            </w:r>
          </w:p>
        </w:tc>
        <w:tc>
          <w:tcPr>
            <w:tcW w:type="dxa" w:w="22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1–2</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E2</w:t>
            </w:r>
          </w:p>
        </w:tc>
        <w:tc>
          <w:tcPr>
            <w:tcW w:type="dxa" w:w="36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Angebot, Kalkulation und Wirtschaftlichkeit</w:t>
            </w:r>
          </w:p>
        </w:tc>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gemeinsam</w:t>
            </w:r>
          </w:p>
        </w:tc>
        <w:tc>
          <w:tcPr>
            <w:tcW w:type="dxa" w:w="1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60</w:t>
            </w:r>
          </w:p>
        </w:tc>
        <w:tc>
          <w:tcPr>
            <w:tcW w:type="dxa" w:w="22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2–3</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E3</w:t>
            </w:r>
          </w:p>
        </w:tc>
        <w:tc>
          <w:tcPr>
            <w:tcW w:type="dxa" w:w="36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Projektplanung im Kundenauftrag</w:t>
            </w:r>
          </w:p>
        </w:tc>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gemeinsam</w:t>
            </w:r>
          </w:p>
        </w:tc>
        <w:tc>
          <w:tcPr>
            <w:tcW w:type="dxa" w:w="1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40</w:t>
            </w:r>
          </w:p>
        </w:tc>
        <w:tc>
          <w:tcPr>
            <w:tcW w:type="dxa" w:w="22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4</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w:t>
            </w:r>
          </w:p>
        </w:tc>
        <w:tc>
          <w:tcPr>
            <w:tcW w:type="dxa" w:w="36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Zwischenklausur inkl. Auswertung</w:t>
            </w:r>
          </w:p>
        </w:tc>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gemeinsam</w:t>
            </w:r>
          </w:p>
        </w:tc>
        <w:tc>
          <w:tcPr>
            <w:tcW w:type="dxa" w:w="1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8</w:t>
            </w:r>
          </w:p>
        </w:tc>
        <w:tc>
          <w:tcPr>
            <w:tcW w:type="dxa" w:w="22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4</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E4</w:t>
            </w:r>
          </w:p>
        </w:tc>
        <w:tc>
          <w:tcPr>
            <w:tcW w:type="dxa" w:w="36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Umsetzung – Fachspur</w:t>
            </w:r>
          </w:p>
        </w:tc>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getrennt</w:t>
            </w:r>
          </w:p>
        </w:tc>
        <w:tc>
          <w:tcPr>
            <w:tcW w:type="dxa" w:w="1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100</w:t>
            </w:r>
          </w:p>
        </w:tc>
        <w:tc>
          <w:tcPr>
            <w:tcW w:type="dxa" w:w="22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5–6</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E5</w:t>
            </w:r>
          </w:p>
        </w:tc>
        <w:tc>
          <w:tcPr>
            <w:tcW w:type="dxa" w:w="36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Qualitätssicherung und Test</w:t>
            </w:r>
          </w:p>
        </w:tc>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gemeinsam</w:t>
            </w:r>
          </w:p>
        </w:tc>
        <w:tc>
          <w:tcPr>
            <w:tcW w:type="dxa" w:w="1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70</w:t>
            </w:r>
          </w:p>
        </w:tc>
        <w:tc>
          <w:tcPr>
            <w:tcW w:type="dxa" w:w="22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7–8</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E6</w:t>
            </w:r>
          </w:p>
        </w:tc>
        <w:tc>
          <w:tcPr>
            <w:tcW w:type="dxa" w:w="36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Recht, Datenschutz und Compliance</w:t>
            </w:r>
          </w:p>
        </w:tc>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gemeinsam</w:t>
            </w:r>
          </w:p>
        </w:tc>
        <w:tc>
          <w:tcPr>
            <w:tcW w:type="dxa" w:w="1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48</w:t>
            </w:r>
          </w:p>
        </w:tc>
        <w:tc>
          <w:tcPr>
            <w:tcW w:type="dxa" w:w="22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8–9</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E7</w:t>
            </w:r>
          </w:p>
        </w:tc>
        <w:tc>
          <w:tcPr>
            <w:tcW w:type="dxa" w:w="36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Abnahme, Übergabe, Schulung, Doku</w:t>
            </w:r>
          </w:p>
        </w:tc>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gemeinsam</w:t>
            </w:r>
          </w:p>
        </w:tc>
        <w:tc>
          <w:tcPr>
            <w:tcW w:type="dxa" w:w="1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60</w:t>
            </w:r>
          </w:p>
        </w:tc>
        <w:tc>
          <w:tcPr>
            <w:tcW w:type="dxa" w:w="22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9–10</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E8</w:t>
            </w:r>
          </w:p>
        </w:tc>
        <w:tc>
          <w:tcPr>
            <w:tcW w:type="dxa" w:w="36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Capstone – Kundenauftrag komplett</w:t>
            </w:r>
          </w:p>
        </w:tc>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getrennt</w:t>
            </w:r>
          </w:p>
        </w:tc>
        <w:tc>
          <w:tcPr>
            <w:tcW w:type="dxa" w:w="1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170</w:t>
            </w:r>
          </w:p>
        </w:tc>
        <w:tc>
          <w:tcPr>
            <w:tcW w:type="dxa" w:w="22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11–14</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w:t>
            </w:r>
          </w:p>
        </w:tc>
        <w:tc>
          <w:tcPr>
            <w:tcW w:type="dxa" w:w="36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AP2-Schleife (2 UE je Woche)</w:t>
            </w:r>
          </w:p>
        </w:tc>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gemeinsam</w:t>
            </w:r>
          </w:p>
        </w:tc>
        <w:tc>
          <w:tcPr>
            <w:tcW w:type="dxa" w:w="1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28</w:t>
            </w:r>
          </w:p>
        </w:tc>
        <w:tc>
          <w:tcPr>
            <w:tcW w:type="dxa" w:w="22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durchgängig</w:t>
            </w:r>
          </w:p>
        </w:tc>
      </w:tr>
      <w:tr>
        <w:tc>
          <w:tcPr>
            <w:tcW w:type="dxa" w:w="700"/>
            <w:tcBorders>
              <w:top w:val="single" w:color="B7CDE3" w:sz="4"/>
              <w:left w:val="single" w:color="B7CDE3" w:sz="4"/>
              <w:bottom w:val="single" w:color="B7CDE3" w:sz="4"/>
              <w:right w:val="single" w:color="B7CDE3" w:sz="4"/>
            </w:tcBorders>
            <w:shd w:fill="D6E4F0" w:color="auto" w:val="clear"/>
            <w:tcMar>
              <w:top w:type="dxa" w:w="70"/>
              <w:left w:type="dxa" w:w="110"/>
              <w:bottom w:type="dxa" w:w="70"/>
              <w:right w:type="dxa" w:w="110"/>
            </w:tcMar>
            <w:vAlign w:val="center"/>
          </w:tcPr>
          <w:p>
            <w:pPr>
              <w:spacing w:after="0" w:line="252"/>
              <w:jc w:val="center"/>
            </w:pPr>
            <w:r>
              <w:rPr>
                <w:rFonts w:ascii="Calibri" w:cs="Calibri" w:eastAsia="Calibri" w:hAnsi="Calibri"/>
                <w:b/>
                <w:bCs/>
                <w:color w:val="1A1A1A"/>
                <w:sz w:val="20"/>
                <w:szCs w:val="20"/>
              </w:rPr>
              <w:t xml:space="preserve"/>
            </w:r>
          </w:p>
        </w:tc>
        <w:tc>
          <w:tcPr>
            <w:tcW w:type="dxa" w:w="3626"/>
            <w:tcBorders>
              <w:top w:val="single" w:color="B7CDE3" w:sz="4"/>
              <w:left w:val="single" w:color="B7CDE3" w:sz="4"/>
              <w:bottom w:val="single" w:color="B7CDE3" w:sz="4"/>
              <w:right w:val="single" w:color="B7CDE3" w:sz="4"/>
            </w:tcBorders>
            <w:shd w:fill="D6E4F0"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Gesamt</w:t>
            </w:r>
          </w:p>
        </w:tc>
        <w:tc>
          <w:tcPr>
            <w:tcW w:type="dxa" w:w="1500"/>
            <w:tcBorders>
              <w:top w:val="single" w:color="B7CDE3" w:sz="4"/>
              <w:left w:val="single" w:color="B7CDE3" w:sz="4"/>
              <w:bottom w:val="single" w:color="B7CDE3" w:sz="4"/>
              <w:right w:val="single" w:color="B7CDE3" w:sz="4"/>
            </w:tcBorders>
            <w:shd w:fill="D6E4F0" w:color="auto" w:val="clear"/>
            <w:tcMar>
              <w:top w:type="dxa" w:w="70"/>
              <w:left w:type="dxa" w:w="110"/>
              <w:bottom w:type="dxa" w:w="70"/>
              <w:right w:type="dxa" w:w="110"/>
            </w:tcMar>
            <w:vAlign w:val="center"/>
          </w:tcPr>
          <w:p>
            <w:pPr>
              <w:spacing w:after="0" w:line="252"/>
              <w:jc w:val="center"/>
            </w:pPr>
            <w:r>
              <w:rPr>
                <w:rFonts w:ascii="Calibri" w:cs="Calibri" w:eastAsia="Calibri" w:hAnsi="Calibri"/>
                <w:b/>
                <w:bCs/>
                <w:color w:val="1A1A1A"/>
                <w:sz w:val="20"/>
                <w:szCs w:val="20"/>
              </w:rPr>
              <w:t xml:space="preserve"/>
            </w:r>
          </w:p>
        </w:tc>
        <w:tc>
          <w:tcPr>
            <w:tcW w:type="dxa" w:w="1000"/>
            <w:tcBorders>
              <w:top w:val="single" w:color="B7CDE3" w:sz="4"/>
              <w:left w:val="single" w:color="B7CDE3" w:sz="4"/>
              <w:bottom w:val="single" w:color="B7CDE3" w:sz="4"/>
              <w:right w:val="single" w:color="B7CDE3" w:sz="4"/>
            </w:tcBorders>
            <w:shd w:fill="D6E4F0" w:color="auto" w:val="clear"/>
            <w:tcMar>
              <w:top w:type="dxa" w:w="70"/>
              <w:left w:type="dxa" w:w="110"/>
              <w:bottom w:type="dxa" w:w="70"/>
              <w:right w:type="dxa" w:w="110"/>
            </w:tcMar>
            <w:vAlign w:val="center"/>
          </w:tcPr>
          <w:p>
            <w:pPr>
              <w:spacing w:after="0" w:line="252"/>
              <w:jc w:val="center"/>
            </w:pPr>
            <w:r>
              <w:rPr>
                <w:rFonts w:ascii="Calibri" w:cs="Calibri" w:eastAsia="Calibri" w:hAnsi="Calibri"/>
                <w:b/>
                <w:bCs/>
                <w:color w:val="1A1A1A"/>
                <w:sz w:val="20"/>
                <w:szCs w:val="20"/>
              </w:rPr>
              <w:t xml:space="preserve">654</w:t>
            </w:r>
          </w:p>
        </w:tc>
        <w:tc>
          <w:tcPr>
            <w:tcW w:type="dxa" w:w="2200"/>
            <w:tcBorders>
              <w:top w:val="single" w:color="B7CDE3" w:sz="4"/>
              <w:left w:val="single" w:color="B7CDE3" w:sz="4"/>
              <w:bottom w:val="single" w:color="B7CDE3" w:sz="4"/>
              <w:right w:val="single" w:color="B7CDE3" w:sz="4"/>
            </w:tcBorders>
            <w:shd w:fill="D6E4F0" w:color="auto" w:val="clear"/>
            <w:tcMar>
              <w:top w:type="dxa" w:w="70"/>
              <w:left w:type="dxa" w:w="110"/>
              <w:bottom w:type="dxa" w:w="70"/>
              <w:right w:type="dxa" w:w="110"/>
            </w:tcMar>
            <w:vAlign w:val="center"/>
          </w:tcPr>
          <w:p>
            <w:pPr>
              <w:spacing w:after="0" w:line="252"/>
              <w:jc w:val="center"/>
            </w:pPr>
            <w:r>
              <w:rPr>
                <w:rFonts w:ascii="Calibri" w:cs="Calibri" w:eastAsia="Calibri" w:hAnsi="Calibri"/>
                <w:b/>
                <w:bCs/>
                <w:color w:val="1A1A1A"/>
                <w:sz w:val="20"/>
                <w:szCs w:val="20"/>
              </w:rPr>
              <w:t xml:space="preserve">≈ 14 Wochen</w:t>
            </w:r>
          </w:p>
        </w:tc>
      </w:tr>
    </w:tbl>
    <w:p>
      <w:pPr>
        <w:spacing w:after="160" w:before="0" w:line="276"/>
      </w:pPr>
      <w:r>
        <w:rPr>
          <w:rFonts w:ascii="Calibri" w:cs="Calibri" w:eastAsia="Calibri" w:hAnsi="Calibri"/>
          <w:color w:val="1A1A1A"/>
          <w:sz w:val="21"/>
          <w:szCs w:val="21"/>
        </w:rPr>
        <w:t xml:space="preserve"/>
      </w:r>
    </w:p>
    <w:p>
      <w:pPr>
        <w:spacing w:after="120" w:before="0" w:line="276"/>
      </w:pPr>
      <w:r>
        <w:rPr>
          <w:rFonts w:ascii="Calibri" w:cs="Calibri" w:eastAsia="Calibri" w:hAnsi="Calibri"/>
          <w:i/>
          <w:iCs/>
          <w:color w:val="444444"/>
          <w:sz w:val="21"/>
          <w:szCs w:val="21"/>
        </w:rPr>
        <w:t xml:space="preserve">Die Wochenangaben sind relativ zum Modulstart. Sobald das Start- und Enddatum von Modul M feststeht, werden sie in konkrete Kalenderwochen überführt.</w:t>
      </w:r>
    </w:p>
    <w:p>
      <w:pPr>
        <w:pStyle w:val="Heading2"/>
        <w:spacing w:after="120" w:before="280"/>
      </w:pPr>
      <w:r>
        <w:rPr>
          <w:rFonts w:ascii="Calibri" w:cs="Calibri" w:eastAsia="Calibri" w:hAnsi="Calibri"/>
          <w:b/>
          <w:bCs/>
          <w:color w:val="0066AA"/>
          <w:sz w:val="25"/>
          <w:szCs w:val="25"/>
        </w:rPr>
        <w:t xml:space="preserve">2.1  Wochenrhythmus</w:t>
      </w:r>
    </w:p>
    <w:p>
      <w:pPr>
        <w:pStyle w:val="ListParagraph"/>
        <w:numPr>
          <w:ilvl w:val="0"/>
          <w:numId w:val="2"/>
        </w:numPr>
        <w:spacing w:after="60" w:line="264"/>
      </w:pPr>
      <w:r>
        <w:rPr>
          <w:rFonts w:ascii="Calibri" w:cs="Calibri" w:eastAsia="Calibri" w:hAnsi="Calibri"/>
          <w:color w:val="1A1A1A"/>
          <w:sz w:val="21"/>
          <w:szCs w:val="21"/>
        </w:rPr>
        <w:t xml:space="preserve">Montag bis Donnerstag: Etappeninhalte nach Plan.</w:t>
      </w:r>
    </w:p>
    <w:p>
      <w:pPr>
        <w:pStyle w:val="ListParagraph"/>
        <w:numPr>
          <w:ilvl w:val="0"/>
          <w:numId w:val="2"/>
        </w:numPr>
        <w:spacing w:after="60" w:line="264"/>
      </w:pPr>
      <w:r>
        <w:rPr>
          <w:rFonts w:ascii="Calibri" w:cs="Calibri" w:eastAsia="Calibri" w:hAnsi="Calibri"/>
          <w:color w:val="1A1A1A"/>
          <w:sz w:val="21"/>
          <w:szCs w:val="21"/>
        </w:rPr>
        <w:t xml:space="preserve">Freitag, 2 UE: AP2-Schleife mit Altaufgaben, fachrichtungsgetrennt korrigiert.</w:t>
      </w:r>
    </w:p>
    <w:p>
      <w:pPr>
        <w:pStyle w:val="ListParagraph"/>
        <w:numPr>
          <w:ilvl w:val="0"/>
          <w:numId w:val="2"/>
        </w:numPr>
        <w:spacing w:after="60" w:line="264"/>
      </w:pPr>
      <w:r>
        <w:rPr>
          <w:rFonts w:ascii="Calibri" w:cs="Calibri" w:eastAsia="Calibri" w:hAnsi="Calibri"/>
          <w:color w:val="1A1A1A"/>
          <w:sz w:val="21"/>
          <w:szCs w:val="21"/>
        </w:rPr>
        <w:t xml:space="preserve">Ab Woche 11 (Capstone): feste Sprechzeiten statt Unterrichtsblöcken, zwei kollegiale Zwischenreviews.</w:t>
      </w:r>
    </w:p>
    <w:p>
      <w:r>
        <w:br w:type="page"/>
      </w:r>
    </w:p>
    <w:p>
      <w:pPr>
        <w:pStyle w:val="Heading1"/>
        <w:pBdr>
          <w:bottom w:val="single" w:color="F0A500" w:sz="12" w:space="4"/>
        </w:pBdr>
        <w:spacing w:after="180" w:before="360"/>
      </w:pPr>
      <w:r>
        <w:rPr>
          <w:rFonts w:ascii="Calibri" w:cs="Calibri" w:eastAsia="Calibri" w:hAnsi="Calibri"/>
          <w:b/>
          <w:bCs/>
          <w:color w:val="003366"/>
          <w:sz w:val="30"/>
          <w:szCs w:val="30"/>
        </w:rPr>
        <w:t xml:space="preserve">3  Die Etappen im Detail</w:t>
      </w:r>
    </w:p>
    <w:p>
      <w:pPr>
        <w:pStyle w:val="Heading2"/>
        <w:spacing w:after="120" w:before="280"/>
      </w:pPr>
      <w:r>
        <w:rPr>
          <w:rFonts w:ascii="Calibri" w:cs="Calibri" w:eastAsia="Calibri" w:hAnsi="Calibri"/>
          <w:b/>
          <w:bCs/>
          <w:color w:val="0066AA"/>
          <w:sz w:val="25"/>
          <w:szCs w:val="25"/>
        </w:rPr>
        <w:t xml:space="preserve">E1  Kundenauftrag und Anforderungsanalyse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7526"/>
      </w:tblGrid>
      <w:tr>
        <w:trPr>
          <w:tblHeader/>
        </w:trPr>
        <w:tc>
          <w:tcPr>
            <w:tcW w:type="dxa" w:w="15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Merkmal</w:t>
            </w:r>
          </w:p>
        </w:tc>
        <w:tc>
          <w:tcPr>
            <w:tcW w:type="dxa" w:w="75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Angabe</w:t>
            </w:r>
          </w:p>
        </w:tc>
      </w:tr>
      <w:tr>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Umfang</w:t>
            </w:r>
          </w:p>
        </w:tc>
        <w:tc>
          <w:tcPr>
            <w:tcW w:type="dxa" w:w="75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70 UE</w:t>
            </w:r>
          </w:p>
        </w:tc>
      </w:tr>
      <w:tr>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Spur</w:t>
            </w:r>
          </w:p>
        </w:tc>
        <w:tc>
          <w:tcPr>
            <w:tcW w:type="dxa" w:w="75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gemeinsam</w:t>
            </w:r>
          </w:p>
        </w:tc>
      </w:tr>
      <w:tr>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Methoden</w:t>
            </w:r>
          </w:p>
        </w:tc>
        <w:tc>
          <w:tcPr>
            <w:tcW w:type="dxa" w:w="75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FU, Rollenspiel Kundengespräch (Format Modul G), PA, Dokumentenanalyse</w:t>
            </w:r>
          </w:p>
        </w:tc>
      </w:tr>
      <w:tr>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Szenario</w:t>
            </w:r>
          </w:p>
        </w:tc>
        <w:tc>
          <w:tcPr>
            <w:tcW w:type="dxa" w:w="75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Nordfracht Logistik GmbH – Ablösung der Papier-Tourenplanung</w:t>
            </w:r>
          </w:p>
        </w:tc>
      </w:tr>
    </w:tbl>
    <w:p>
      <w:pPr>
        <w:spacing w:after="140" w:before="0" w:line="276"/>
      </w:pPr>
      <w:r>
        <w:rPr>
          <w:rFonts w:ascii="Calibri" w:cs="Calibri" w:eastAsia="Calibri" w:hAnsi="Calibri"/>
          <w:color w:val="1A1A1A"/>
          <w:sz w:val="21"/>
          <w:szCs w:val="21"/>
        </w:rPr>
        <w:t xml:space="preserve"/>
      </w:r>
    </w:p>
    <w:p>
      <w:pPr>
        <w:pStyle w:val="Heading3"/>
        <w:spacing w:after="80" w:before="200"/>
      </w:pPr>
      <w:r>
        <w:rPr>
          <w:rFonts w:ascii="Calibri" w:cs="Calibri" w:eastAsia="Calibri" w:hAnsi="Calibri"/>
          <w:b/>
          <w:bCs/>
          <w:color w:val="003366"/>
          <w:sz w:val="22"/>
          <w:szCs w:val="22"/>
        </w:rPr>
        <w:t xml:space="preserve">Lernziele – die Teilnehmenden können …</w:t>
      </w:r>
    </w:p>
    <w:p>
      <w:pPr>
        <w:pStyle w:val="ListParagraph"/>
        <w:numPr>
          <w:ilvl w:val="0"/>
          <w:numId w:val="2"/>
        </w:numPr>
        <w:spacing w:after="60" w:line="264"/>
      </w:pPr>
      <w:r>
        <w:rPr>
          <w:rFonts w:ascii="Calibri" w:cs="Calibri" w:eastAsia="Calibri" w:hAnsi="Calibri"/>
          <w:color w:val="1A1A1A"/>
          <w:sz w:val="21"/>
          <w:szCs w:val="21"/>
        </w:rPr>
        <w:t xml:space="preserve">ein Kundengespräch strukturiert vorbereiten, führen und protokollieren</w:t>
      </w:r>
    </w:p>
    <w:p>
      <w:pPr>
        <w:pStyle w:val="ListParagraph"/>
        <w:numPr>
          <w:ilvl w:val="0"/>
          <w:numId w:val="2"/>
        </w:numPr>
        <w:spacing w:after="60" w:line="264"/>
      </w:pPr>
      <w:r>
        <w:rPr>
          <w:rFonts w:ascii="Calibri" w:cs="Calibri" w:eastAsia="Calibri" w:hAnsi="Calibri"/>
          <w:color w:val="1A1A1A"/>
          <w:sz w:val="21"/>
          <w:szCs w:val="21"/>
        </w:rPr>
        <w:t xml:space="preserve">Anforderungen erheben, in funktionale und nicht-funktionale Anforderungen gliedern und priorisieren</w:t>
      </w:r>
    </w:p>
    <w:p>
      <w:pPr>
        <w:pStyle w:val="ListParagraph"/>
        <w:numPr>
          <w:ilvl w:val="0"/>
          <w:numId w:val="2"/>
        </w:numPr>
        <w:spacing w:after="60" w:line="264"/>
      </w:pPr>
      <w:r>
        <w:rPr>
          <w:rFonts w:ascii="Calibri" w:cs="Calibri" w:eastAsia="Calibri" w:hAnsi="Calibri"/>
          <w:color w:val="1A1A1A"/>
          <w:sz w:val="21"/>
          <w:szCs w:val="21"/>
        </w:rPr>
        <w:t xml:space="preserve">ein Lastenheft auswerten und daraus ein vollständiges Pflichtenheft ableiten</w:t>
      </w:r>
    </w:p>
    <w:p>
      <w:pPr>
        <w:pStyle w:val="ListParagraph"/>
        <w:numPr>
          <w:ilvl w:val="0"/>
          <w:numId w:val="2"/>
        </w:numPr>
        <w:spacing w:after="60" w:line="264"/>
      </w:pPr>
      <w:r>
        <w:rPr>
          <w:rFonts w:ascii="Calibri" w:cs="Calibri" w:eastAsia="Calibri" w:hAnsi="Calibri"/>
          <w:color w:val="1A1A1A"/>
          <w:sz w:val="21"/>
          <w:szCs w:val="21"/>
        </w:rPr>
        <w:t xml:space="preserve">Abläufe und Systemgrenzen mit Use-Case- und Aktivitätsdiagramm modellieren</w:t>
      </w:r>
    </w:p>
    <w:p>
      <w:pPr>
        <w:pStyle w:val="Heading3"/>
        <w:spacing w:after="80" w:before="200"/>
      </w:pPr>
      <w:r>
        <w:rPr>
          <w:rFonts w:ascii="Calibri" w:cs="Calibri" w:eastAsia="Calibri" w:hAnsi="Calibri"/>
          <w:b/>
          <w:bCs/>
          <w:color w:val="003366"/>
          <w:sz w:val="22"/>
          <w:szCs w:val="22"/>
        </w:rPr>
        <w:t xml:space="preserve">Inhalte</w:t>
      </w:r>
    </w:p>
    <w:p>
      <w:pPr>
        <w:pStyle w:val="ListParagraph"/>
        <w:numPr>
          <w:ilvl w:val="0"/>
          <w:numId w:val="2"/>
        </w:numPr>
        <w:spacing w:after="60" w:line="264"/>
      </w:pPr>
      <w:r>
        <w:rPr>
          <w:rFonts w:ascii="Calibri" w:cs="Calibri" w:eastAsia="Calibri" w:hAnsi="Calibri"/>
          <w:color w:val="1A1A1A"/>
          <w:sz w:val="21"/>
          <w:szCs w:val="21"/>
        </w:rPr>
        <w:t xml:space="preserve">Auftragsarten und Auftragsanbahnung, Rolle des Auftragnehmers</w:t>
      </w:r>
    </w:p>
    <w:p>
      <w:pPr>
        <w:pStyle w:val="ListParagraph"/>
        <w:numPr>
          <w:ilvl w:val="0"/>
          <w:numId w:val="2"/>
        </w:numPr>
        <w:spacing w:after="60" w:line="264"/>
      </w:pPr>
      <w:r>
        <w:rPr>
          <w:rFonts w:ascii="Calibri" w:cs="Calibri" w:eastAsia="Calibri" w:hAnsi="Calibri"/>
          <w:color w:val="1A1A1A"/>
          <w:sz w:val="21"/>
          <w:szCs w:val="21"/>
        </w:rPr>
        <w:t xml:space="preserve">Stakeholder-Analyse, Interview- und Fragetechnik, Protokollarten</w:t>
      </w:r>
    </w:p>
    <w:p>
      <w:pPr>
        <w:pStyle w:val="ListParagraph"/>
        <w:numPr>
          <w:ilvl w:val="0"/>
          <w:numId w:val="2"/>
        </w:numPr>
        <w:spacing w:after="60" w:line="264"/>
      </w:pPr>
      <w:r>
        <w:rPr>
          <w:rFonts w:ascii="Calibri" w:cs="Calibri" w:eastAsia="Calibri" w:hAnsi="Calibri"/>
          <w:color w:val="1A1A1A"/>
          <w:sz w:val="21"/>
          <w:szCs w:val="21"/>
        </w:rPr>
        <w:t xml:space="preserve">Anforderungsarten, Qualitätskriterien guter Anforderungen, MoSCoW-Priorisierung</w:t>
      </w:r>
    </w:p>
    <w:p>
      <w:pPr>
        <w:pStyle w:val="ListParagraph"/>
        <w:numPr>
          <w:ilvl w:val="0"/>
          <w:numId w:val="2"/>
        </w:numPr>
        <w:spacing w:after="60" w:line="264"/>
      </w:pPr>
      <w:r>
        <w:rPr>
          <w:rFonts w:ascii="Calibri" w:cs="Calibri" w:eastAsia="Calibri" w:hAnsi="Calibri"/>
          <w:color w:val="1A1A1A"/>
          <w:sz w:val="21"/>
          <w:szCs w:val="21"/>
        </w:rPr>
        <w:t xml:space="preserve">Lastenheft vs. Pflichtenheft: Aufbau, Abgrenzung, typische Fehler</w:t>
      </w:r>
    </w:p>
    <w:p>
      <w:pPr>
        <w:pStyle w:val="ListParagraph"/>
        <w:numPr>
          <w:ilvl w:val="0"/>
          <w:numId w:val="2"/>
        </w:numPr>
        <w:spacing w:after="60" w:line="264"/>
      </w:pPr>
      <w:r>
        <w:rPr>
          <w:rFonts w:ascii="Calibri" w:cs="Calibri" w:eastAsia="Calibri" w:hAnsi="Calibri"/>
          <w:color w:val="1A1A1A"/>
          <w:sz w:val="21"/>
          <w:szCs w:val="21"/>
        </w:rPr>
        <w:t xml:space="preserve">Use-Case-Diagramm und Aktivitätsdiagramm (UML)</w:t>
      </w:r>
    </w:p>
    <w:p>
      <w:pPr>
        <w:pStyle w:val="ListParagraph"/>
        <w:numPr>
          <w:ilvl w:val="0"/>
          <w:numId w:val="2"/>
        </w:numPr>
        <w:spacing w:after="60" w:line="264"/>
      </w:pPr>
      <w:r>
        <w:rPr>
          <w:rFonts w:ascii="Calibri" w:cs="Calibri" w:eastAsia="Calibri" w:hAnsi="Calibri"/>
          <w:color w:val="1A1A1A"/>
          <w:sz w:val="21"/>
          <w:szCs w:val="21"/>
        </w:rPr>
        <w:t xml:space="preserve">Anforderungsreview, Änderungsanträge (Change Requests), Nachverfolgbarkeit</w:t>
      </w:r>
    </w:p>
    <w:p>
      <w:pPr>
        <w:pStyle w:val="Heading3"/>
        <w:spacing w:after="80" w:before="200"/>
      </w:pPr>
      <w:r>
        <w:rPr>
          <w:rFonts w:ascii="Calibri" w:cs="Calibri" w:eastAsia="Calibri" w:hAnsi="Calibri"/>
          <w:b/>
          <w:bCs/>
          <w:color w:val="003366"/>
          <w:sz w:val="22"/>
          <w:szCs w:val="22"/>
        </w:rPr>
        <w:t xml:space="preserve">Materialsatz</w:t>
      </w:r>
    </w:p>
    <w:p>
      <w:pPr>
        <w:spacing w:after="120" w:before="0" w:line="276"/>
      </w:pPr>
      <w:r>
        <w:rPr>
          <w:rFonts w:ascii="Calibri" w:cs="Calibri" w:eastAsia="Calibri" w:hAnsi="Calibri"/>
          <w:color w:val="1A1A1A"/>
          <w:sz w:val="21"/>
          <w:szCs w:val="21"/>
        </w:rPr>
        <w:t xml:space="preserve">PPTX Einstieg, Handout, Aufgabenheft/Lösungsheft, Rollenkarten Kundengespräch, Pflichtenheft-Vorlage (DOCX)</w:t>
      </w:r>
    </w:p>
    <w:p>
      <w:pPr>
        <w:spacing w:after="60" w:before="0" w:line="276"/>
      </w:pPr>
      <w:r>
        <w:rPr>
          <w:rFonts w:ascii="Calibri" w:cs="Calibri" w:eastAsia="Calibri" w:hAnsi="Calibri"/>
          <w:color w:val="1A1A1A"/>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0A500" w:sz="6"/>
              <w:left w:val="single" w:color="F0A500" w:sz="18"/>
              <w:bottom w:val="single" w:color="F0A500" w:sz="6"/>
              <w:right w:val="single" w:color="F0A500" w:sz="6"/>
            </w:tcBorders>
            <w:shd w:fill="FFF4DC" w:color="auto" w:val="clear"/>
            <w:tcMar>
              <w:top w:type="dxa" w:w="120"/>
              <w:left w:type="dxa" w:w="160"/>
              <w:bottom w:type="dxa" w:w="120"/>
              <w:right w:type="dxa" w:w="160"/>
            </w:tcMar>
          </w:tcPr>
          <w:p>
            <w:pPr>
              <w:spacing w:after="60"/>
            </w:pPr>
            <w:r>
              <w:rPr>
                <w:rFonts w:ascii="Calibri" w:cs="Calibri" w:eastAsia="Calibri" w:hAnsi="Calibri"/>
                <w:b/>
                <w:bCs/>
                <w:color w:val="8A5A00"/>
                <w:sz w:val="21"/>
                <w:szCs w:val="21"/>
              </w:rPr>
              <w:t xml:space="preserve">Hinweis zur Prüfungsrelevanz</w:t>
            </w:r>
          </w:p>
          <w:p>
            <w:pPr>
              <w:spacing w:after="40" w:line="264"/>
            </w:pPr>
            <w:r>
              <w:rPr>
                <w:rFonts w:ascii="Calibri" w:cs="Calibri" w:eastAsia="Calibri" w:hAnsi="Calibri"/>
                <w:color w:val="1A1A1A"/>
                <w:sz w:val="20"/>
                <w:szCs w:val="20"/>
              </w:rPr>
              <w:t xml:space="preserve">Aktivitätsdiagramm ist Pflichtstoff (hat PAP/Struktogramm abgelöst); Pflichtenheft-Auszüge sind wiederkehrender Aufgabentyp.</w:t>
            </w:r>
          </w:p>
        </w:tc>
      </w:tr>
    </w:tbl>
    <w:p>
      <w:r>
        <w:br w:type="page"/>
      </w:r>
    </w:p>
    <w:p>
      <w:pPr>
        <w:pStyle w:val="Heading2"/>
        <w:spacing w:after="120" w:before="280"/>
      </w:pPr>
      <w:r>
        <w:rPr>
          <w:rFonts w:ascii="Calibri" w:cs="Calibri" w:eastAsia="Calibri" w:hAnsi="Calibri"/>
          <w:b/>
          <w:bCs/>
          <w:color w:val="0066AA"/>
          <w:sz w:val="25"/>
          <w:szCs w:val="25"/>
        </w:rPr>
        <w:t xml:space="preserve">E2  Angebot, Kalkulation und Wirtschaftlichkeit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7526"/>
      </w:tblGrid>
      <w:tr>
        <w:trPr>
          <w:tblHeader/>
        </w:trPr>
        <w:tc>
          <w:tcPr>
            <w:tcW w:type="dxa" w:w="15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Merkmal</w:t>
            </w:r>
          </w:p>
        </w:tc>
        <w:tc>
          <w:tcPr>
            <w:tcW w:type="dxa" w:w="75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Angabe</w:t>
            </w:r>
          </w:p>
        </w:tc>
      </w:tr>
      <w:tr>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Umfang</w:t>
            </w:r>
          </w:p>
        </w:tc>
        <w:tc>
          <w:tcPr>
            <w:tcW w:type="dxa" w:w="75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60 UE</w:t>
            </w:r>
          </w:p>
        </w:tc>
      </w:tr>
      <w:tr>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Spur</w:t>
            </w:r>
          </w:p>
        </w:tc>
        <w:tc>
          <w:tcPr>
            <w:tcW w:type="dxa" w:w="75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gemeinsam</w:t>
            </w:r>
          </w:p>
        </w:tc>
      </w:tr>
      <w:tr>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Methoden</w:t>
            </w:r>
          </w:p>
        </w:tc>
        <w:tc>
          <w:tcPr>
            <w:tcW w:type="dxa" w:w="75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FU, Rechenübungen im Plenum, GA Angebotsvergleich, PA</w:t>
            </w:r>
          </w:p>
        </w:tc>
      </w:tr>
      <w:tr>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Szenario</w:t>
            </w:r>
          </w:p>
        </w:tc>
        <w:tc>
          <w:tcPr>
            <w:tcW w:type="dxa" w:w="75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Nordfracht Logistik GmbH – drei Angebote im Vergleich</w:t>
            </w:r>
          </w:p>
        </w:tc>
      </w:tr>
    </w:tbl>
    <w:p>
      <w:pPr>
        <w:spacing w:after="140" w:before="0" w:line="276"/>
      </w:pPr>
      <w:r>
        <w:rPr>
          <w:rFonts w:ascii="Calibri" w:cs="Calibri" w:eastAsia="Calibri" w:hAnsi="Calibri"/>
          <w:color w:val="1A1A1A"/>
          <w:sz w:val="21"/>
          <w:szCs w:val="21"/>
        </w:rPr>
        <w:t xml:space="preserve"/>
      </w:r>
    </w:p>
    <w:p>
      <w:pPr>
        <w:pStyle w:val="Heading3"/>
        <w:spacing w:after="80" w:before="200"/>
      </w:pPr>
      <w:r>
        <w:rPr>
          <w:rFonts w:ascii="Calibri" w:cs="Calibri" w:eastAsia="Calibri" w:hAnsi="Calibri"/>
          <w:b/>
          <w:bCs/>
          <w:color w:val="003366"/>
          <w:sz w:val="22"/>
          <w:szCs w:val="22"/>
        </w:rPr>
        <w:t xml:space="preserve">Lernziele – die Teilnehmenden können …</w:t>
      </w:r>
    </w:p>
    <w:p>
      <w:pPr>
        <w:pStyle w:val="ListParagraph"/>
        <w:numPr>
          <w:ilvl w:val="0"/>
          <w:numId w:val="2"/>
        </w:numPr>
        <w:spacing w:after="60" w:line="264"/>
      </w:pPr>
      <w:r>
        <w:rPr>
          <w:rFonts w:ascii="Calibri" w:cs="Calibri" w:eastAsia="Calibri" w:hAnsi="Calibri"/>
          <w:color w:val="1A1A1A"/>
          <w:sz w:val="21"/>
          <w:szCs w:val="21"/>
        </w:rPr>
        <w:t xml:space="preserve">ein Angebot auf Basis des Pflichtenhefts kalkulieren und strukturieren</w:t>
      </w:r>
    </w:p>
    <w:p>
      <w:pPr>
        <w:pStyle w:val="ListParagraph"/>
        <w:numPr>
          <w:ilvl w:val="0"/>
          <w:numId w:val="2"/>
        </w:numPr>
        <w:spacing w:after="60" w:line="264"/>
      </w:pPr>
      <w:r>
        <w:rPr>
          <w:rFonts w:ascii="Calibri" w:cs="Calibri" w:eastAsia="Calibri" w:hAnsi="Calibri"/>
          <w:color w:val="1A1A1A"/>
          <w:sz w:val="21"/>
          <w:szCs w:val="21"/>
        </w:rPr>
        <w:t xml:space="preserve">Wirtschaftlichkeit einer IT-Investition rechnerisch beurteilen</w:t>
      </w:r>
    </w:p>
    <w:p>
      <w:pPr>
        <w:pStyle w:val="ListParagraph"/>
        <w:numPr>
          <w:ilvl w:val="0"/>
          <w:numId w:val="2"/>
        </w:numPr>
        <w:spacing w:after="60" w:line="264"/>
      </w:pPr>
      <w:r>
        <w:rPr>
          <w:rFonts w:ascii="Calibri" w:cs="Calibri" w:eastAsia="Calibri" w:hAnsi="Calibri"/>
          <w:color w:val="1A1A1A"/>
          <w:sz w:val="21"/>
          <w:szCs w:val="21"/>
        </w:rPr>
        <w:t xml:space="preserve">Angebote nach quantitativen und qualitativen Kriterien vergleichen und die Entscheidung begründen</w:t>
      </w:r>
    </w:p>
    <w:p>
      <w:pPr>
        <w:pStyle w:val="Heading3"/>
        <w:spacing w:after="80" w:before="200"/>
      </w:pPr>
      <w:r>
        <w:rPr>
          <w:rFonts w:ascii="Calibri" w:cs="Calibri" w:eastAsia="Calibri" w:hAnsi="Calibri"/>
          <w:b/>
          <w:bCs/>
          <w:color w:val="003366"/>
          <w:sz w:val="22"/>
          <w:szCs w:val="22"/>
        </w:rPr>
        <w:t xml:space="preserve">Inhalte</w:t>
      </w:r>
    </w:p>
    <w:p>
      <w:pPr>
        <w:pStyle w:val="ListParagraph"/>
        <w:numPr>
          <w:ilvl w:val="0"/>
          <w:numId w:val="2"/>
        </w:numPr>
        <w:spacing w:after="60" w:line="264"/>
      </w:pPr>
      <w:r>
        <w:rPr>
          <w:rFonts w:ascii="Calibri" w:cs="Calibri" w:eastAsia="Calibri" w:hAnsi="Calibri"/>
          <w:color w:val="1A1A1A"/>
          <w:sz w:val="21"/>
          <w:szCs w:val="21"/>
        </w:rPr>
        <w:t xml:space="preserve">Kostenarten, Stundensätze, Zuschlagskalkulation, Deckungsbeitrag</w:t>
      </w:r>
    </w:p>
    <w:p>
      <w:pPr>
        <w:pStyle w:val="ListParagraph"/>
        <w:numPr>
          <w:ilvl w:val="0"/>
          <w:numId w:val="2"/>
        </w:numPr>
        <w:spacing w:after="60" w:line="264"/>
      </w:pPr>
      <w:r>
        <w:rPr>
          <w:rFonts w:ascii="Calibri" w:cs="Calibri" w:eastAsia="Calibri" w:hAnsi="Calibri"/>
          <w:color w:val="1A1A1A"/>
          <w:sz w:val="21"/>
          <w:szCs w:val="21"/>
        </w:rPr>
        <w:t xml:space="preserve">Make-or-Buy, Eigenleistung vs. Fremdvergabe</w:t>
      </w:r>
    </w:p>
    <w:p>
      <w:pPr>
        <w:pStyle w:val="ListParagraph"/>
        <w:numPr>
          <w:ilvl w:val="0"/>
          <w:numId w:val="2"/>
        </w:numPr>
        <w:spacing w:after="60" w:line="264"/>
      </w:pPr>
      <w:r>
        <w:rPr>
          <w:rFonts w:ascii="Calibri" w:cs="Calibri" w:eastAsia="Calibri" w:hAnsi="Calibri"/>
          <w:color w:val="1A1A1A"/>
          <w:sz w:val="21"/>
          <w:szCs w:val="21"/>
        </w:rPr>
        <w:t xml:space="preserve">TCO, ROI, Amortisationsrechnung, Kosten-Nutzen-Analyse</w:t>
      </w:r>
    </w:p>
    <w:p>
      <w:pPr>
        <w:pStyle w:val="ListParagraph"/>
        <w:numPr>
          <w:ilvl w:val="0"/>
          <w:numId w:val="2"/>
        </w:numPr>
        <w:spacing w:after="60" w:line="264"/>
      </w:pPr>
      <w:r>
        <w:rPr>
          <w:rFonts w:ascii="Calibri" w:cs="Calibri" w:eastAsia="Calibri" w:hAnsi="Calibri"/>
          <w:color w:val="1A1A1A"/>
          <w:sz w:val="21"/>
          <w:szCs w:val="21"/>
        </w:rPr>
        <w:t xml:space="preserve">Nutzwertanalyse mit Gewichtung als Entscheidungsinstrument</w:t>
      </w:r>
    </w:p>
    <w:p>
      <w:pPr>
        <w:pStyle w:val="ListParagraph"/>
        <w:numPr>
          <w:ilvl w:val="0"/>
          <w:numId w:val="2"/>
        </w:numPr>
        <w:spacing w:after="60" w:line="264"/>
      </w:pPr>
      <w:r>
        <w:rPr>
          <w:rFonts w:ascii="Calibri" w:cs="Calibri" w:eastAsia="Calibri" w:hAnsi="Calibri"/>
          <w:color w:val="1A1A1A"/>
          <w:sz w:val="21"/>
          <w:szCs w:val="21"/>
        </w:rPr>
        <w:t xml:space="preserve">Kauf, Leasing, Miete und Subskription – CAPEX/OPEX-Wirkung</w:t>
      </w:r>
    </w:p>
    <w:p>
      <w:pPr>
        <w:pStyle w:val="ListParagraph"/>
        <w:numPr>
          <w:ilvl w:val="0"/>
          <w:numId w:val="2"/>
        </w:numPr>
        <w:spacing w:after="60" w:line="264"/>
      </w:pPr>
      <w:r>
        <w:rPr>
          <w:rFonts w:ascii="Calibri" w:cs="Calibri" w:eastAsia="Calibri" w:hAnsi="Calibri"/>
          <w:color w:val="1A1A1A"/>
          <w:sz w:val="21"/>
          <w:szCs w:val="21"/>
        </w:rPr>
        <w:t xml:space="preserve">Angebotsaufbau, Bindefrist, Zahlungs- und Lieferbedingungen</w:t>
      </w:r>
    </w:p>
    <w:p>
      <w:pPr>
        <w:pStyle w:val="Heading3"/>
        <w:spacing w:after="80" w:before="200"/>
      </w:pPr>
      <w:r>
        <w:rPr>
          <w:rFonts w:ascii="Calibri" w:cs="Calibri" w:eastAsia="Calibri" w:hAnsi="Calibri"/>
          <w:b/>
          <w:bCs/>
          <w:color w:val="003366"/>
          <w:sz w:val="22"/>
          <w:szCs w:val="22"/>
        </w:rPr>
        <w:t xml:space="preserve">Materialsatz</w:t>
      </w:r>
    </w:p>
    <w:p>
      <w:pPr>
        <w:spacing w:after="120" w:before="0" w:line="276"/>
      </w:pPr>
      <w:r>
        <w:rPr>
          <w:rFonts w:ascii="Calibri" w:cs="Calibri" w:eastAsia="Calibri" w:hAnsi="Calibri"/>
          <w:color w:val="1A1A1A"/>
          <w:sz w:val="21"/>
          <w:szCs w:val="21"/>
        </w:rPr>
        <w:t xml:space="preserve">PPTX Einstieg, Handout, Aufgabenheft/Lösungsheft mit Rechenteil, Kalkulationsvorlage (XLSX)</w:t>
      </w:r>
    </w:p>
    <w:p>
      <w:pPr>
        <w:spacing w:after="60" w:before="0" w:line="276"/>
      </w:pPr>
      <w:r>
        <w:rPr>
          <w:rFonts w:ascii="Calibri" w:cs="Calibri" w:eastAsia="Calibri" w:hAnsi="Calibri"/>
          <w:color w:val="1A1A1A"/>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0A500" w:sz="6"/>
              <w:left w:val="single" w:color="F0A500" w:sz="18"/>
              <w:bottom w:val="single" w:color="F0A500" w:sz="6"/>
              <w:right w:val="single" w:color="F0A500" w:sz="6"/>
            </w:tcBorders>
            <w:shd w:fill="FFF4DC" w:color="auto" w:val="clear"/>
            <w:tcMar>
              <w:top w:type="dxa" w:w="120"/>
              <w:left w:type="dxa" w:w="160"/>
              <w:bottom w:type="dxa" w:w="120"/>
              <w:right w:type="dxa" w:w="160"/>
            </w:tcMar>
          </w:tcPr>
          <w:p>
            <w:pPr>
              <w:spacing w:after="60"/>
            </w:pPr>
            <w:r>
              <w:rPr>
                <w:rFonts w:ascii="Calibri" w:cs="Calibri" w:eastAsia="Calibri" w:hAnsi="Calibri"/>
                <w:b/>
                <w:bCs/>
                <w:color w:val="8A5A00"/>
                <w:sz w:val="21"/>
                <w:szCs w:val="21"/>
              </w:rPr>
              <w:t xml:space="preserve">Hinweis zur Prüfungsrelevanz</w:t>
            </w:r>
          </w:p>
          <w:p>
            <w:pPr>
              <w:spacing w:after="40" w:line="264"/>
            </w:pPr>
            <w:r>
              <w:rPr>
                <w:rFonts w:ascii="Calibri" w:cs="Calibri" w:eastAsia="Calibri" w:hAnsi="Calibri"/>
                <w:color w:val="1A1A1A"/>
                <w:sz w:val="20"/>
                <w:szCs w:val="20"/>
              </w:rPr>
              <w:t xml:space="preserve">Wirtschaftlichkeitsrechnung und Nutzwertanalyse gehören zu den zuverlässigsten Punktelieferanten in AP2 – Rechenweg immer vollständig einfordern.</w:t>
            </w:r>
          </w:p>
        </w:tc>
      </w:tr>
    </w:tbl>
    <w:p>
      <w:r>
        <w:br w:type="page"/>
      </w:r>
    </w:p>
    <w:p>
      <w:pPr>
        <w:pStyle w:val="Heading2"/>
        <w:spacing w:after="120" w:before="280"/>
      </w:pPr>
      <w:r>
        <w:rPr>
          <w:rFonts w:ascii="Calibri" w:cs="Calibri" w:eastAsia="Calibri" w:hAnsi="Calibri"/>
          <w:b/>
          <w:bCs/>
          <w:color w:val="0066AA"/>
          <w:sz w:val="25"/>
          <w:szCs w:val="25"/>
        </w:rPr>
        <w:t xml:space="preserve">E3  Projektplanung im Kundenauftrag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7526"/>
      </w:tblGrid>
      <w:tr>
        <w:trPr>
          <w:tblHeader/>
        </w:trPr>
        <w:tc>
          <w:tcPr>
            <w:tcW w:type="dxa" w:w="15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Merkmal</w:t>
            </w:r>
          </w:p>
        </w:tc>
        <w:tc>
          <w:tcPr>
            <w:tcW w:type="dxa" w:w="75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Angabe</w:t>
            </w:r>
          </w:p>
        </w:tc>
      </w:tr>
      <w:tr>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Umfang</w:t>
            </w:r>
          </w:p>
        </w:tc>
        <w:tc>
          <w:tcPr>
            <w:tcW w:type="dxa" w:w="75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40 UE</w:t>
            </w:r>
          </w:p>
        </w:tc>
      </w:tr>
      <w:tr>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Spur</w:t>
            </w:r>
          </w:p>
        </w:tc>
        <w:tc>
          <w:tcPr>
            <w:tcW w:type="dxa" w:w="75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gemeinsam</w:t>
            </w:r>
          </w:p>
        </w:tc>
      </w:tr>
      <w:tr>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Methoden</w:t>
            </w:r>
          </w:p>
        </w:tc>
        <w:tc>
          <w:tcPr>
            <w:tcW w:type="dxa" w:w="75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FU (kurz), GA Projektplanung am eigenen Auftrag, Präsentation der Gruppenergebnisse</w:t>
            </w:r>
          </w:p>
        </w:tc>
      </w:tr>
      <w:tr>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Szenario</w:t>
            </w:r>
          </w:p>
        </w:tc>
        <w:tc>
          <w:tcPr>
            <w:tcW w:type="dxa" w:w="75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Fortführung Nordfracht</w:t>
            </w:r>
          </w:p>
        </w:tc>
      </w:tr>
    </w:tbl>
    <w:p>
      <w:pPr>
        <w:spacing w:after="140" w:before="0" w:line="276"/>
      </w:pPr>
      <w:r>
        <w:rPr>
          <w:rFonts w:ascii="Calibri" w:cs="Calibri" w:eastAsia="Calibri" w:hAnsi="Calibri"/>
          <w:color w:val="1A1A1A"/>
          <w:sz w:val="21"/>
          <w:szCs w:val="21"/>
        </w:rPr>
        <w:t xml:space="preserve"/>
      </w:r>
    </w:p>
    <w:p>
      <w:pPr>
        <w:pStyle w:val="Heading3"/>
        <w:spacing w:after="80" w:before="200"/>
      </w:pPr>
      <w:r>
        <w:rPr>
          <w:rFonts w:ascii="Calibri" w:cs="Calibri" w:eastAsia="Calibri" w:hAnsi="Calibri"/>
          <w:b/>
          <w:bCs/>
          <w:color w:val="003366"/>
          <w:sz w:val="22"/>
          <w:szCs w:val="22"/>
        </w:rPr>
        <w:t xml:space="preserve">Lernziele – die Teilnehmenden können …</w:t>
      </w:r>
    </w:p>
    <w:p>
      <w:pPr>
        <w:pStyle w:val="ListParagraph"/>
        <w:numPr>
          <w:ilvl w:val="0"/>
          <w:numId w:val="2"/>
        </w:numPr>
        <w:spacing w:after="60" w:line="264"/>
      </w:pPr>
      <w:r>
        <w:rPr>
          <w:rFonts w:ascii="Calibri" w:cs="Calibri" w:eastAsia="Calibri" w:hAnsi="Calibri"/>
          <w:color w:val="1A1A1A"/>
          <w:sz w:val="21"/>
          <w:szCs w:val="21"/>
        </w:rPr>
        <w:t xml:space="preserve">ein Vorgehensmodell begründet auswählen und auf den Auftrag anwenden</w:t>
      </w:r>
    </w:p>
    <w:p>
      <w:pPr>
        <w:pStyle w:val="ListParagraph"/>
        <w:numPr>
          <w:ilvl w:val="0"/>
          <w:numId w:val="2"/>
        </w:numPr>
        <w:spacing w:after="60" w:line="264"/>
      </w:pPr>
      <w:r>
        <w:rPr>
          <w:rFonts w:ascii="Calibri" w:cs="Calibri" w:eastAsia="Calibri" w:hAnsi="Calibri"/>
          <w:color w:val="1A1A1A"/>
          <w:sz w:val="21"/>
          <w:szCs w:val="21"/>
        </w:rPr>
        <w:t xml:space="preserve">Projektstrukturplan, Meilensteine und Terminplan erstellen</w:t>
      </w:r>
    </w:p>
    <w:p>
      <w:pPr>
        <w:pStyle w:val="ListParagraph"/>
        <w:numPr>
          <w:ilvl w:val="0"/>
          <w:numId w:val="2"/>
        </w:numPr>
        <w:spacing w:after="60" w:line="264"/>
      </w:pPr>
      <w:r>
        <w:rPr>
          <w:rFonts w:ascii="Calibri" w:cs="Calibri" w:eastAsia="Calibri" w:hAnsi="Calibri"/>
          <w:color w:val="1A1A1A"/>
          <w:sz w:val="21"/>
          <w:szCs w:val="21"/>
        </w:rPr>
        <w:t xml:space="preserve">Projektrisiken systematisch bewerten und Gegenmaßnahmen ableiten</w:t>
      </w:r>
    </w:p>
    <w:p>
      <w:pPr>
        <w:pStyle w:val="Heading3"/>
        <w:spacing w:after="80" w:before="200"/>
      </w:pPr>
      <w:r>
        <w:rPr>
          <w:rFonts w:ascii="Calibri" w:cs="Calibri" w:eastAsia="Calibri" w:hAnsi="Calibri"/>
          <w:b/>
          <w:bCs/>
          <w:color w:val="003366"/>
          <w:sz w:val="22"/>
          <w:szCs w:val="22"/>
        </w:rPr>
        <w:t xml:space="preserve">Inhalte</w:t>
      </w:r>
    </w:p>
    <w:p>
      <w:pPr>
        <w:pStyle w:val="ListParagraph"/>
        <w:numPr>
          <w:ilvl w:val="0"/>
          <w:numId w:val="2"/>
        </w:numPr>
        <w:spacing w:after="60" w:line="264"/>
      </w:pPr>
      <w:r>
        <w:rPr>
          <w:rFonts w:ascii="Calibri" w:cs="Calibri" w:eastAsia="Calibri" w:hAnsi="Calibri"/>
          <w:color w:val="1A1A1A"/>
          <w:sz w:val="21"/>
          <w:szCs w:val="21"/>
        </w:rPr>
        <w:t xml:space="preserve">Auswahl des Vorgehensmodells: Wasserfall, V-Modell, Scrum, Kanban – Kriterien statt Dogma</w:t>
      </w:r>
    </w:p>
    <w:p>
      <w:pPr>
        <w:pStyle w:val="ListParagraph"/>
        <w:numPr>
          <w:ilvl w:val="0"/>
          <w:numId w:val="2"/>
        </w:numPr>
        <w:spacing w:after="60" w:line="264"/>
      </w:pPr>
      <w:r>
        <w:rPr>
          <w:rFonts w:ascii="Calibri" w:cs="Calibri" w:eastAsia="Calibri" w:hAnsi="Calibri"/>
          <w:color w:val="1A1A1A"/>
          <w:sz w:val="21"/>
          <w:szCs w:val="21"/>
        </w:rPr>
        <w:t xml:space="preserve">Projektstrukturplan (PSP), Arbeitspakete, Aufwandsschätzung</w:t>
      </w:r>
    </w:p>
    <w:p>
      <w:pPr>
        <w:pStyle w:val="ListParagraph"/>
        <w:numPr>
          <w:ilvl w:val="0"/>
          <w:numId w:val="2"/>
        </w:numPr>
        <w:spacing w:after="60" w:line="264"/>
      </w:pPr>
      <w:r>
        <w:rPr>
          <w:rFonts w:ascii="Calibri" w:cs="Calibri" w:eastAsia="Calibri" w:hAnsi="Calibri"/>
          <w:color w:val="1A1A1A"/>
          <w:sz w:val="21"/>
          <w:szCs w:val="21"/>
        </w:rPr>
        <w:t xml:space="preserve">Meilensteine, Gantt-Diagramm, Kapazitäts- und Ressourcenplanung</w:t>
      </w:r>
    </w:p>
    <w:p>
      <w:pPr>
        <w:pStyle w:val="ListParagraph"/>
        <w:numPr>
          <w:ilvl w:val="0"/>
          <w:numId w:val="2"/>
        </w:numPr>
        <w:spacing w:after="60" w:line="264"/>
      </w:pPr>
      <w:r>
        <w:rPr>
          <w:rFonts w:ascii="Calibri" w:cs="Calibri" w:eastAsia="Calibri" w:hAnsi="Calibri"/>
          <w:color w:val="1A1A1A"/>
          <w:sz w:val="21"/>
          <w:szCs w:val="21"/>
        </w:rPr>
        <w:t xml:space="preserve">Risikoanalyse: Eintrittswahrscheinlichkeit × Auswirkung, Risikomatrix, Maßnahmen</w:t>
      </w:r>
    </w:p>
    <w:p>
      <w:pPr>
        <w:pStyle w:val="ListParagraph"/>
        <w:numPr>
          <w:ilvl w:val="0"/>
          <w:numId w:val="2"/>
        </w:numPr>
        <w:spacing w:after="60" w:line="264"/>
      </w:pPr>
      <w:r>
        <w:rPr>
          <w:rFonts w:ascii="Calibri" w:cs="Calibri" w:eastAsia="Calibri" w:hAnsi="Calibri"/>
          <w:color w:val="1A1A1A"/>
          <w:sz w:val="21"/>
          <w:szCs w:val="21"/>
        </w:rPr>
        <w:t xml:space="preserve">Kommunikationsplan, Projektauftrag, Statusbericht</w:t>
      </w:r>
    </w:p>
    <w:p>
      <w:pPr>
        <w:pStyle w:val="ListParagraph"/>
        <w:numPr>
          <w:ilvl w:val="0"/>
          <w:numId w:val="2"/>
        </w:numPr>
        <w:spacing w:after="60" w:line="264"/>
      </w:pPr>
      <w:r>
        <w:rPr>
          <w:rFonts w:ascii="Calibri" w:cs="Calibri" w:eastAsia="Calibri" w:hAnsi="Calibri"/>
          <w:color w:val="1A1A1A"/>
          <w:sz w:val="21"/>
          <w:szCs w:val="21"/>
        </w:rPr>
        <w:t xml:space="preserve">Kurzwiederholung Netzplantechnik und kritischer Pfad (4 UE)</w:t>
      </w:r>
    </w:p>
    <w:p>
      <w:pPr>
        <w:pStyle w:val="Heading3"/>
        <w:spacing w:after="80" w:before="200"/>
      </w:pPr>
      <w:r>
        <w:rPr>
          <w:rFonts w:ascii="Calibri" w:cs="Calibri" w:eastAsia="Calibri" w:hAnsi="Calibri"/>
          <w:b/>
          <w:bCs/>
          <w:color w:val="003366"/>
          <w:sz w:val="22"/>
          <w:szCs w:val="22"/>
        </w:rPr>
        <w:t xml:space="preserve">Materialsatz</w:t>
      </w:r>
    </w:p>
    <w:p>
      <w:pPr>
        <w:spacing w:after="120" w:before="0" w:line="276"/>
      </w:pPr>
      <w:r>
        <w:rPr>
          <w:rFonts w:ascii="Calibri" w:cs="Calibri" w:eastAsia="Calibri" w:hAnsi="Calibri"/>
          <w:color w:val="1A1A1A"/>
          <w:sz w:val="21"/>
          <w:szCs w:val="21"/>
        </w:rPr>
        <w:t xml:space="preserve">PPTX Einstieg, Handout, Planungsvorlagen (PSP, Risikomatrix, Gantt), Aufgabenheft/Lösungsheft</w:t>
      </w:r>
    </w:p>
    <w:p>
      <w:pPr>
        <w:spacing w:after="60" w:before="0" w:line="276"/>
      </w:pPr>
      <w:r>
        <w:rPr>
          <w:rFonts w:ascii="Calibri" w:cs="Calibri" w:eastAsia="Calibri" w:hAnsi="Calibri"/>
          <w:color w:val="1A1A1A"/>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0A500" w:sz="6"/>
              <w:left w:val="single" w:color="F0A500" w:sz="18"/>
              <w:bottom w:val="single" w:color="F0A500" w:sz="6"/>
              <w:right w:val="single" w:color="F0A500" w:sz="6"/>
            </w:tcBorders>
            <w:shd w:fill="FFF4DC" w:color="auto" w:val="clear"/>
            <w:tcMar>
              <w:top w:type="dxa" w:w="120"/>
              <w:left w:type="dxa" w:w="160"/>
              <w:bottom w:type="dxa" w:w="120"/>
              <w:right w:type="dxa" w:w="160"/>
            </w:tcMar>
          </w:tcPr>
          <w:p>
            <w:pPr>
              <w:spacing w:after="60"/>
            </w:pPr>
            <w:r>
              <w:rPr>
                <w:rFonts w:ascii="Calibri" w:cs="Calibri" w:eastAsia="Calibri" w:hAnsi="Calibri"/>
                <w:b/>
                <w:bCs/>
                <w:color w:val="8A5A00"/>
                <w:sz w:val="21"/>
                <w:szCs w:val="21"/>
              </w:rPr>
              <w:t xml:space="preserve">Hinweis zur Prüfungsrelevanz</w:t>
            </w:r>
          </w:p>
          <w:p>
            <w:pPr>
              <w:spacing w:after="40" w:line="264"/>
            </w:pPr>
            <w:r>
              <w:rPr>
                <w:rFonts w:ascii="Calibri" w:cs="Calibri" w:eastAsia="Calibri" w:hAnsi="Calibri"/>
                <w:color w:val="1A1A1A"/>
                <w:sz w:val="20"/>
                <w:szCs w:val="20"/>
              </w:rPr>
              <w:t xml:space="preserve">Bewusst verkürzt – Methodik steckt bereits in Modul E. Hier zählt die Anwendung auf den konkreten Kundenauftrag, nicht die erneute Herleitung.</w:t>
            </w:r>
          </w:p>
        </w:tc>
      </w:tr>
    </w:tbl>
    <w:p>
      <w:r>
        <w:br w:type="page"/>
      </w:r>
    </w:p>
    <w:p>
      <w:pPr>
        <w:pStyle w:val="Heading2"/>
        <w:spacing w:after="120" w:before="280"/>
      </w:pPr>
      <w:r>
        <w:rPr>
          <w:rFonts w:ascii="Calibri" w:cs="Calibri" w:eastAsia="Calibri" w:hAnsi="Calibri"/>
          <w:b/>
          <w:bCs/>
          <w:color w:val="0066AA"/>
          <w:sz w:val="25"/>
          <w:szCs w:val="25"/>
        </w:rPr>
        <w:t xml:space="preserve">E4  Umsetzung – Fachspur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7526"/>
      </w:tblGrid>
      <w:tr>
        <w:trPr>
          <w:tblHeader/>
        </w:trPr>
        <w:tc>
          <w:tcPr>
            <w:tcW w:type="dxa" w:w="15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Merkmal</w:t>
            </w:r>
          </w:p>
        </w:tc>
        <w:tc>
          <w:tcPr>
            <w:tcW w:type="dxa" w:w="75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Angabe</w:t>
            </w:r>
          </w:p>
        </w:tc>
      </w:tr>
      <w:tr>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Umfang</w:t>
            </w:r>
          </w:p>
        </w:tc>
        <w:tc>
          <w:tcPr>
            <w:tcW w:type="dxa" w:w="75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100 UE</w:t>
            </w:r>
          </w:p>
        </w:tc>
      </w:tr>
      <w:tr>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Spur</w:t>
            </w:r>
          </w:p>
        </w:tc>
        <w:tc>
          <w:tcPr>
            <w:tcW w:type="dxa" w:w="75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getrennt FIAE / FISI</w:t>
            </w:r>
          </w:p>
        </w:tc>
      </w:tr>
      <w:tr>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Methoden</w:t>
            </w:r>
          </w:p>
        </w:tc>
        <w:tc>
          <w:tcPr>
            <w:tcW w:type="dxa" w:w="75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PA/GA am realen Auftrag, Labor, Code-Review-Runden, Kurzimpulse statt Frontalblöcken</w:t>
            </w:r>
          </w:p>
        </w:tc>
      </w:tr>
      <w:tr>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Szenario</w:t>
            </w:r>
          </w:p>
        </w:tc>
        <w:tc>
          <w:tcPr>
            <w:tcW w:type="dxa" w:w="75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FISI: BalticPort AG – Standortanbindung. FIAE: MedZentrum Lübeck – Terminverwaltung.</w:t>
            </w:r>
          </w:p>
        </w:tc>
      </w:tr>
    </w:tbl>
    <w:p>
      <w:pPr>
        <w:spacing w:after="140" w:before="0" w:line="276"/>
      </w:pPr>
      <w:r>
        <w:rPr>
          <w:rFonts w:ascii="Calibri" w:cs="Calibri" w:eastAsia="Calibri" w:hAnsi="Calibri"/>
          <w:color w:val="1A1A1A"/>
          <w:sz w:val="21"/>
          <w:szCs w:val="21"/>
        </w:rPr>
        <w:t xml:space="preserve"/>
      </w:r>
    </w:p>
    <w:p>
      <w:pPr>
        <w:pStyle w:val="Heading3"/>
        <w:spacing w:after="80" w:before="200"/>
      </w:pPr>
      <w:r>
        <w:rPr>
          <w:rFonts w:ascii="Calibri" w:cs="Calibri" w:eastAsia="Calibri" w:hAnsi="Calibri"/>
          <w:b/>
          <w:bCs/>
          <w:color w:val="003366"/>
          <w:sz w:val="22"/>
          <w:szCs w:val="22"/>
        </w:rPr>
        <w:t xml:space="preserve">Lernziele – die Teilnehmenden können …</w:t>
      </w:r>
    </w:p>
    <w:p>
      <w:pPr>
        <w:pStyle w:val="ListParagraph"/>
        <w:numPr>
          <w:ilvl w:val="0"/>
          <w:numId w:val="2"/>
        </w:numPr>
        <w:spacing w:after="60" w:line="264"/>
      </w:pPr>
      <w:r>
        <w:rPr>
          <w:rFonts w:ascii="Calibri" w:cs="Calibri" w:eastAsia="Calibri" w:hAnsi="Calibri"/>
          <w:color w:val="1A1A1A"/>
          <w:sz w:val="21"/>
          <w:szCs w:val="21"/>
        </w:rPr>
        <w:t xml:space="preserve">FISI: ein Soll-Konzept aus der Ist-Analyse ableiten und die Integration inklusive Migration und Rollout planen</w:t>
      </w:r>
    </w:p>
    <w:p>
      <w:pPr>
        <w:pStyle w:val="ListParagraph"/>
        <w:numPr>
          <w:ilvl w:val="0"/>
          <w:numId w:val="2"/>
        </w:numPr>
        <w:spacing w:after="60" w:line="264"/>
      </w:pPr>
      <w:r>
        <w:rPr>
          <w:rFonts w:ascii="Calibri" w:cs="Calibri" w:eastAsia="Calibri" w:hAnsi="Calibri"/>
          <w:color w:val="1A1A1A"/>
          <w:sz w:val="21"/>
          <w:szCs w:val="21"/>
        </w:rPr>
        <w:t xml:space="preserve">FIAE: eine Anwendungsarchitektur aus den Anforderungen ableiten und arbeitsteilig umsetzen</w:t>
      </w:r>
    </w:p>
    <w:p>
      <w:pPr>
        <w:pStyle w:val="ListParagraph"/>
        <w:numPr>
          <w:ilvl w:val="0"/>
          <w:numId w:val="2"/>
        </w:numPr>
        <w:spacing w:after="60" w:line="264"/>
      </w:pPr>
      <w:r>
        <w:rPr>
          <w:rFonts w:ascii="Calibri" w:cs="Calibri" w:eastAsia="Calibri" w:hAnsi="Calibri"/>
          <w:color w:val="1A1A1A"/>
          <w:sz w:val="21"/>
          <w:szCs w:val="21"/>
        </w:rPr>
        <w:t xml:space="preserve">die eigenen Entwurfsentscheidungen gegenüber dem Kunden begründen</w:t>
      </w:r>
    </w:p>
    <w:p>
      <w:pPr>
        <w:pStyle w:val="Heading3"/>
        <w:spacing w:after="80" w:before="200"/>
      </w:pPr>
      <w:r>
        <w:rPr>
          <w:rFonts w:ascii="Calibri" w:cs="Calibri" w:eastAsia="Calibri" w:hAnsi="Calibri"/>
          <w:b/>
          <w:bCs/>
          <w:color w:val="003366"/>
          <w:sz w:val="22"/>
          <w:szCs w:val="22"/>
        </w:rPr>
        <w:t xml:space="preserve">Inhalte</w:t>
      </w:r>
    </w:p>
    <w:p>
      <w:pPr>
        <w:pStyle w:val="ListParagraph"/>
        <w:numPr>
          <w:ilvl w:val="0"/>
          <w:numId w:val="2"/>
        </w:numPr>
        <w:spacing w:after="60" w:line="264"/>
      </w:pPr>
      <w:r>
        <w:rPr>
          <w:rFonts w:ascii="Calibri" w:cs="Calibri" w:eastAsia="Calibri" w:hAnsi="Calibri"/>
          <w:color w:val="1A1A1A"/>
          <w:sz w:val="21"/>
          <w:szCs w:val="21"/>
        </w:rPr>
        <w:t xml:space="preserve">FISI: Ist-Analyse und Inventarisierung, Soll-Konzept, Sizing und Dimensionierung</w:t>
      </w:r>
    </w:p>
    <w:p>
      <w:pPr>
        <w:pStyle w:val="ListParagraph"/>
        <w:numPr>
          <w:ilvl w:val="0"/>
          <w:numId w:val="2"/>
        </w:numPr>
        <w:spacing w:after="60" w:line="264"/>
      </w:pPr>
      <w:r>
        <w:rPr>
          <w:rFonts w:ascii="Calibri" w:cs="Calibri" w:eastAsia="Calibri" w:hAnsi="Calibri"/>
          <w:color w:val="1A1A1A"/>
          <w:sz w:val="21"/>
          <w:szCs w:val="21"/>
        </w:rPr>
        <w:t xml:space="preserve">FISI: Komponentenauswahl, Netz- und Sicherheitskonzept, Schnittstellen zu Bestandssystemen</w:t>
      </w:r>
    </w:p>
    <w:p>
      <w:pPr>
        <w:pStyle w:val="ListParagraph"/>
        <w:numPr>
          <w:ilvl w:val="0"/>
          <w:numId w:val="2"/>
        </w:numPr>
        <w:spacing w:after="60" w:line="264"/>
      </w:pPr>
      <w:r>
        <w:rPr>
          <w:rFonts w:ascii="Calibri" w:cs="Calibri" w:eastAsia="Calibri" w:hAnsi="Calibri"/>
          <w:color w:val="1A1A1A"/>
          <w:sz w:val="21"/>
          <w:szCs w:val="21"/>
        </w:rPr>
        <w:t xml:space="preserve">FISI: Migrationsstrategien (Big Bang, Parallelbetrieb, phasenweise), Testumgebung, Rollout- und Rollback-Plan</w:t>
      </w:r>
    </w:p>
    <w:p>
      <w:pPr>
        <w:pStyle w:val="ListParagraph"/>
        <w:numPr>
          <w:ilvl w:val="0"/>
          <w:numId w:val="2"/>
        </w:numPr>
        <w:spacing w:after="60" w:line="264"/>
      </w:pPr>
      <w:r>
        <w:rPr>
          <w:rFonts w:ascii="Calibri" w:cs="Calibri" w:eastAsia="Calibri" w:hAnsi="Calibri"/>
          <w:color w:val="1A1A1A"/>
          <w:sz w:val="21"/>
          <w:szCs w:val="21"/>
        </w:rPr>
        <w:t xml:space="preserve">FIAE: Schichtenarchitektur, Komponentenschnitt, Datenmodell aus den Anforderungen</w:t>
      </w:r>
    </w:p>
    <w:p>
      <w:pPr>
        <w:pStyle w:val="ListParagraph"/>
        <w:numPr>
          <w:ilvl w:val="0"/>
          <w:numId w:val="2"/>
        </w:numPr>
        <w:spacing w:after="60" w:line="264"/>
      </w:pPr>
      <w:r>
        <w:rPr>
          <w:rFonts w:ascii="Calibri" w:cs="Calibri" w:eastAsia="Calibri" w:hAnsi="Calibri"/>
          <w:color w:val="1A1A1A"/>
          <w:sz w:val="21"/>
          <w:szCs w:val="21"/>
        </w:rPr>
        <w:t xml:space="preserve">FIAE: Schnittstellen und REST-API, Datenzugriff mit EF6/LocalDB, MVVM nach Hausstandard</w:t>
      </w:r>
    </w:p>
    <w:p>
      <w:pPr>
        <w:pStyle w:val="ListParagraph"/>
        <w:numPr>
          <w:ilvl w:val="0"/>
          <w:numId w:val="2"/>
        </w:numPr>
        <w:spacing w:after="60" w:line="264"/>
      </w:pPr>
      <w:r>
        <w:rPr>
          <w:rFonts w:ascii="Calibri" w:cs="Calibri" w:eastAsia="Calibri" w:hAnsi="Calibri"/>
          <w:color w:val="1A1A1A"/>
          <w:sz w:val="21"/>
          <w:szCs w:val="21"/>
        </w:rPr>
        <w:t xml:space="preserve">FIAE: Codekonventionen, Versionsverwaltung und Branching, Code-Review, Refactoring, Deployment-Konzept</w:t>
      </w:r>
    </w:p>
    <w:p>
      <w:pPr>
        <w:pStyle w:val="Heading3"/>
        <w:spacing w:after="80" w:before="200"/>
      </w:pPr>
      <w:r>
        <w:rPr>
          <w:rFonts w:ascii="Calibri" w:cs="Calibri" w:eastAsia="Calibri" w:hAnsi="Calibri"/>
          <w:b/>
          <w:bCs/>
          <w:color w:val="003366"/>
          <w:sz w:val="22"/>
          <w:szCs w:val="22"/>
        </w:rPr>
        <w:t xml:space="preserve">Materialsatz</w:t>
      </w:r>
    </w:p>
    <w:p>
      <w:pPr>
        <w:spacing w:after="120" w:before="0" w:line="276"/>
      </w:pPr>
      <w:r>
        <w:rPr>
          <w:rFonts w:ascii="Calibri" w:cs="Calibri" w:eastAsia="Calibri" w:hAnsi="Calibri"/>
          <w:color w:val="1A1A1A"/>
          <w:sz w:val="21"/>
          <w:szCs w:val="21"/>
        </w:rPr>
        <w:t xml:space="preserve">Je Fachrichtung: PPTX Einstieg, Handout, Laborheft, Aufgabenheft/Lösungsheft, Vorlagen (Soll-Konzept bzw. Architekturdokument)</w:t>
      </w:r>
    </w:p>
    <w:p>
      <w:pPr>
        <w:spacing w:after="60" w:before="0" w:line="276"/>
      </w:pPr>
      <w:r>
        <w:rPr>
          <w:rFonts w:ascii="Calibri" w:cs="Calibri" w:eastAsia="Calibri" w:hAnsi="Calibri"/>
          <w:color w:val="1A1A1A"/>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0A500" w:sz="6"/>
              <w:left w:val="single" w:color="F0A500" w:sz="18"/>
              <w:bottom w:val="single" w:color="F0A500" w:sz="6"/>
              <w:right w:val="single" w:color="F0A500" w:sz="6"/>
            </w:tcBorders>
            <w:shd w:fill="FFF4DC" w:color="auto" w:val="clear"/>
            <w:tcMar>
              <w:top w:type="dxa" w:w="120"/>
              <w:left w:type="dxa" w:w="160"/>
              <w:bottom w:type="dxa" w:w="120"/>
              <w:right w:type="dxa" w:w="160"/>
            </w:tcMar>
          </w:tcPr>
          <w:p>
            <w:pPr>
              <w:spacing w:after="60"/>
            </w:pPr>
            <w:r>
              <w:rPr>
                <w:rFonts w:ascii="Calibri" w:cs="Calibri" w:eastAsia="Calibri" w:hAnsi="Calibri"/>
                <w:b/>
                <w:bCs/>
                <w:color w:val="8A5A00"/>
                <w:sz w:val="21"/>
                <w:szCs w:val="21"/>
              </w:rPr>
              <w:t xml:space="preserve">Hinweis zur Prüfungsrelevanz</w:t>
            </w:r>
          </w:p>
          <w:p>
            <w:pPr>
              <w:spacing w:after="40" w:line="264"/>
            </w:pPr>
            <w:r>
              <w:rPr>
                <w:rFonts w:ascii="Calibri" w:cs="Calibri" w:eastAsia="Calibri" w:hAnsi="Calibri"/>
                <w:color w:val="1A1A1A"/>
                <w:sz w:val="20"/>
                <w:szCs w:val="20"/>
              </w:rPr>
              <w:t xml:space="preserve">FISI: Netz- und Migrationsplanung. FIAE: Design Patterns und Schnittstellen – beide mit hoher AP2-Gewichtung.</w:t>
            </w:r>
          </w:p>
        </w:tc>
      </w:tr>
    </w:tbl>
    <w:p>
      <w:r>
        <w:br w:type="page"/>
      </w:r>
    </w:p>
    <w:p>
      <w:pPr>
        <w:pStyle w:val="Heading2"/>
        <w:spacing w:after="120" w:before="280"/>
      </w:pPr>
      <w:r>
        <w:rPr>
          <w:rFonts w:ascii="Calibri" w:cs="Calibri" w:eastAsia="Calibri" w:hAnsi="Calibri"/>
          <w:b/>
          <w:bCs/>
          <w:color w:val="0066AA"/>
          <w:sz w:val="25"/>
          <w:szCs w:val="25"/>
        </w:rPr>
        <w:t xml:space="preserve">E5  Qualitätssicherung und Test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7526"/>
      </w:tblGrid>
      <w:tr>
        <w:trPr>
          <w:tblHeader/>
        </w:trPr>
        <w:tc>
          <w:tcPr>
            <w:tcW w:type="dxa" w:w="15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Merkmal</w:t>
            </w:r>
          </w:p>
        </w:tc>
        <w:tc>
          <w:tcPr>
            <w:tcW w:type="dxa" w:w="75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Angabe</w:t>
            </w:r>
          </w:p>
        </w:tc>
      </w:tr>
      <w:tr>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Umfang</w:t>
            </w:r>
          </w:p>
        </w:tc>
        <w:tc>
          <w:tcPr>
            <w:tcW w:type="dxa" w:w="75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70 UE</w:t>
            </w:r>
          </w:p>
        </w:tc>
      </w:tr>
      <w:tr>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Spur</w:t>
            </w:r>
          </w:p>
        </w:tc>
        <w:tc>
          <w:tcPr>
            <w:tcW w:type="dxa" w:w="75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gemeinsam, geteilte Aufgabenteile</w:t>
            </w:r>
          </w:p>
        </w:tc>
      </w:tr>
      <w:tr>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Methoden</w:t>
            </w:r>
          </w:p>
        </w:tc>
        <w:tc>
          <w:tcPr>
            <w:tcW w:type="dxa" w:w="75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FU, PA Testfallentwurf, Labor, gegenseitiges Testen der Fachspur-Ergebnisse aus E4</w:t>
            </w:r>
          </w:p>
        </w:tc>
      </w:tr>
      <w:tr>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Szenario</w:t>
            </w:r>
          </w:p>
        </w:tc>
        <w:tc>
          <w:tcPr>
            <w:tcW w:type="dxa" w:w="75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Kreuztest: FIAE testet die FISI-Umgebung, FISI testet die FIAE-Anwendung</w:t>
            </w:r>
          </w:p>
        </w:tc>
      </w:tr>
    </w:tbl>
    <w:p>
      <w:pPr>
        <w:spacing w:after="140" w:before="0" w:line="276"/>
      </w:pPr>
      <w:r>
        <w:rPr>
          <w:rFonts w:ascii="Calibri" w:cs="Calibri" w:eastAsia="Calibri" w:hAnsi="Calibri"/>
          <w:color w:val="1A1A1A"/>
          <w:sz w:val="21"/>
          <w:szCs w:val="21"/>
        </w:rPr>
        <w:t xml:space="preserve"/>
      </w:r>
    </w:p>
    <w:p>
      <w:pPr>
        <w:pStyle w:val="Heading3"/>
        <w:spacing w:after="80" w:before="200"/>
      </w:pPr>
      <w:r>
        <w:rPr>
          <w:rFonts w:ascii="Calibri" w:cs="Calibri" w:eastAsia="Calibri" w:hAnsi="Calibri"/>
          <w:b/>
          <w:bCs/>
          <w:color w:val="003366"/>
          <w:sz w:val="22"/>
          <w:szCs w:val="22"/>
        </w:rPr>
        <w:t xml:space="preserve">Lernziele – die Teilnehmenden können …</w:t>
      </w:r>
    </w:p>
    <w:p>
      <w:pPr>
        <w:pStyle w:val="ListParagraph"/>
        <w:numPr>
          <w:ilvl w:val="0"/>
          <w:numId w:val="2"/>
        </w:numPr>
        <w:spacing w:after="60" w:line="264"/>
      </w:pPr>
      <w:r>
        <w:rPr>
          <w:rFonts w:ascii="Calibri" w:cs="Calibri" w:eastAsia="Calibri" w:hAnsi="Calibri"/>
          <w:color w:val="1A1A1A"/>
          <w:sz w:val="21"/>
          <w:szCs w:val="21"/>
        </w:rPr>
        <w:t xml:space="preserve">Testfälle systematisch aus Anforderungen ableiten</w:t>
      </w:r>
    </w:p>
    <w:p>
      <w:pPr>
        <w:pStyle w:val="ListParagraph"/>
        <w:numPr>
          <w:ilvl w:val="0"/>
          <w:numId w:val="2"/>
        </w:numPr>
        <w:spacing w:after="60" w:line="264"/>
      </w:pPr>
      <w:r>
        <w:rPr>
          <w:rFonts w:ascii="Calibri" w:cs="Calibri" w:eastAsia="Calibri" w:hAnsi="Calibri"/>
          <w:color w:val="1A1A1A"/>
          <w:sz w:val="21"/>
          <w:szCs w:val="21"/>
        </w:rPr>
        <w:t xml:space="preserve">Tests durchführen, protokollieren und Fehler nachvollziehbar klassifizieren</w:t>
      </w:r>
    </w:p>
    <w:p>
      <w:pPr>
        <w:pStyle w:val="ListParagraph"/>
        <w:numPr>
          <w:ilvl w:val="0"/>
          <w:numId w:val="2"/>
        </w:numPr>
        <w:spacing w:after="60" w:line="264"/>
      </w:pPr>
      <w:r>
        <w:rPr>
          <w:rFonts w:ascii="Calibri" w:cs="Calibri" w:eastAsia="Calibri" w:hAnsi="Calibri"/>
          <w:color w:val="1A1A1A"/>
          <w:sz w:val="21"/>
          <w:szCs w:val="21"/>
        </w:rPr>
        <w:t xml:space="preserve">Testergebnisse als Nachweis der Auftragserfüllung aufbereiten</w:t>
      </w:r>
    </w:p>
    <w:p>
      <w:pPr>
        <w:pStyle w:val="Heading3"/>
        <w:spacing w:after="80" w:before="200"/>
      </w:pPr>
      <w:r>
        <w:rPr>
          <w:rFonts w:ascii="Calibri" w:cs="Calibri" w:eastAsia="Calibri" w:hAnsi="Calibri"/>
          <w:b/>
          <w:bCs/>
          <w:color w:val="003366"/>
          <w:sz w:val="22"/>
          <w:szCs w:val="22"/>
        </w:rPr>
        <w:t xml:space="preserve">Inhalte</w:t>
      </w:r>
    </w:p>
    <w:p>
      <w:pPr>
        <w:pStyle w:val="ListParagraph"/>
        <w:numPr>
          <w:ilvl w:val="0"/>
          <w:numId w:val="2"/>
        </w:numPr>
        <w:spacing w:after="60" w:line="264"/>
      </w:pPr>
      <w:r>
        <w:rPr>
          <w:rFonts w:ascii="Calibri" w:cs="Calibri" w:eastAsia="Calibri" w:hAnsi="Calibri"/>
          <w:color w:val="1A1A1A"/>
          <w:sz w:val="21"/>
          <w:szCs w:val="21"/>
        </w:rPr>
        <w:t xml:space="preserve">Teststufen: Unit, Integration, System, Abnahme – Bezug zum V-Modell</w:t>
      </w:r>
    </w:p>
    <w:p>
      <w:pPr>
        <w:pStyle w:val="ListParagraph"/>
        <w:numPr>
          <w:ilvl w:val="0"/>
          <w:numId w:val="2"/>
        </w:numPr>
        <w:spacing w:after="60" w:line="264"/>
      </w:pPr>
      <w:r>
        <w:rPr>
          <w:rFonts w:ascii="Calibri" w:cs="Calibri" w:eastAsia="Calibri" w:hAnsi="Calibri"/>
          <w:color w:val="1A1A1A"/>
          <w:sz w:val="21"/>
          <w:szCs w:val="21"/>
        </w:rPr>
        <w:t xml:space="preserve">Black-Box- und White-Box-Verfahren</w:t>
      </w:r>
    </w:p>
    <w:p>
      <w:pPr>
        <w:pStyle w:val="ListParagraph"/>
        <w:numPr>
          <w:ilvl w:val="0"/>
          <w:numId w:val="2"/>
        </w:numPr>
        <w:spacing w:after="60" w:line="264"/>
      </w:pPr>
      <w:r>
        <w:rPr>
          <w:rFonts w:ascii="Calibri" w:cs="Calibri" w:eastAsia="Calibri" w:hAnsi="Calibri"/>
          <w:color w:val="1A1A1A"/>
          <w:sz w:val="21"/>
          <w:szCs w:val="21"/>
        </w:rPr>
        <w:t xml:space="preserve">Testfallentwurf: Äquivalenzklassen, Grenzwertanalyse, Entscheidungstabellen</w:t>
      </w:r>
    </w:p>
    <w:p>
      <w:pPr>
        <w:pStyle w:val="ListParagraph"/>
        <w:numPr>
          <w:ilvl w:val="0"/>
          <w:numId w:val="2"/>
        </w:numPr>
        <w:spacing w:after="60" w:line="264"/>
      </w:pPr>
      <w:r>
        <w:rPr>
          <w:rFonts w:ascii="Calibri" w:cs="Calibri" w:eastAsia="Calibri" w:hAnsi="Calibri"/>
          <w:color w:val="1A1A1A"/>
          <w:sz w:val="21"/>
          <w:szCs w:val="21"/>
        </w:rPr>
        <w:t xml:space="preserve">Testdaten und Datenschutz beim Testen (Anonymisierung)</w:t>
      </w:r>
    </w:p>
    <w:p>
      <w:pPr>
        <w:pStyle w:val="ListParagraph"/>
        <w:numPr>
          <w:ilvl w:val="0"/>
          <w:numId w:val="2"/>
        </w:numPr>
        <w:spacing w:after="60" w:line="264"/>
      </w:pPr>
      <w:r>
        <w:rPr>
          <w:rFonts w:ascii="Calibri" w:cs="Calibri" w:eastAsia="Calibri" w:hAnsi="Calibri"/>
          <w:color w:val="1A1A1A"/>
          <w:sz w:val="21"/>
          <w:szCs w:val="21"/>
        </w:rPr>
        <w:t xml:space="preserve">Testprotokoll, Fehlerklassifizierung, Bugtracking, Regressionstest</w:t>
      </w:r>
    </w:p>
    <w:p>
      <w:pPr>
        <w:pStyle w:val="ListParagraph"/>
        <w:numPr>
          <w:ilvl w:val="0"/>
          <w:numId w:val="2"/>
        </w:numPr>
        <w:spacing w:after="60" w:line="264"/>
      </w:pPr>
      <w:r>
        <w:rPr>
          <w:rFonts w:ascii="Calibri" w:cs="Calibri" w:eastAsia="Calibri" w:hAnsi="Calibri"/>
          <w:color w:val="1A1A1A"/>
          <w:sz w:val="21"/>
          <w:szCs w:val="21"/>
        </w:rPr>
        <w:t xml:space="preserve">FIAE-Teil: Unit-Tests, Testabdeckung, Grundidee TDD</w:t>
      </w:r>
    </w:p>
    <w:p>
      <w:pPr>
        <w:pStyle w:val="ListParagraph"/>
        <w:numPr>
          <w:ilvl w:val="0"/>
          <w:numId w:val="2"/>
        </w:numPr>
        <w:spacing w:after="60" w:line="264"/>
      </w:pPr>
      <w:r>
        <w:rPr>
          <w:rFonts w:ascii="Calibri" w:cs="Calibri" w:eastAsia="Calibri" w:hAnsi="Calibri"/>
          <w:color w:val="1A1A1A"/>
          <w:sz w:val="21"/>
          <w:szCs w:val="21"/>
        </w:rPr>
        <w:t xml:space="preserve">FISI-Teil: Abnahme- und Funktionstest, Last- und Performancetest, Ausfalltest, Monitoring als Nachweis</w:t>
      </w:r>
    </w:p>
    <w:p>
      <w:pPr>
        <w:pStyle w:val="Heading3"/>
        <w:spacing w:after="80" w:before="200"/>
      </w:pPr>
      <w:r>
        <w:rPr>
          <w:rFonts w:ascii="Calibri" w:cs="Calibri" w:eastAsia="Calibri" w:hAnsi="Calibri"/>
          <w:b/>
          <w:bCs/>
          <w:color w:val="003366"/>
          <w:sz w:val="22"/>
          <w:szCs w:val="22"/>
        </w:rPr>
        <w:t xml:space="preserve">Materialsatz</w:t>
      </w:r>
    </w:p>
    <w:p>
      <w:pPr>
        <w:spacing w:after="120" w:before="0" w:line="276"/>
      </w:pPr>
      <w:r>
        <w:rPr>
          <w:rFonts w:ascii="Calibri" w:cs="Calibri" w:eastAsia="Calibri" w:hAnsi="Calibri"/>
          <w:color w:val="1A1A1A"/>
          <w:sz w:val="21"/>
          <w:szCs w:val="21"/>
        </w:rPr>
        <w:t xml:space="preserve">PPTX Einstieg, Handout, Testfallvorlage, Testprotokollvorlage, Aufgabenheft/Lösungsheft</w:t>
      </w:r>
    </w:p>
    <w:p>
      <w:pPr>
        <w:spacing w:after="60" w:before="0" w:line="276"/>
      </w:pPr>
      <w:r>
        <w:rPr>
          <w:rFonts w:ascii="Calibri" w:cs="Calibri" w:eastAsia="Calibri" w:hAnsi="Calibri"/>
          <w:color w:val="1A1A1A"/>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0A500" w:sz="6"/>
              <w:left w:val="single" w:color="F0A500" w:sz="18"/>
              <w:bottom w:val="single" w:color="F0A500" w:sz="6"/>
              <w:right w:val="single" w:color="F0A500" w:sz="6"/>
            </w:tcBorders>
            <w:shd w:fill="FFF4DC" w:color="auto" w:val="clear"/>
            <w:tcMar>
              <w:top w:type="dxa" w:w="120"/>
              <w:left w:type="dxa" w:w="160"/>
              <w:bottom w:type="dxa" w:w="120"/>
              <w:right w:type="dxa" w:w="160"/>
            </w:tcMar>
          </w:tcPr>
          <w:p>
            <w:pPr>
              <w:spacing w:after="60"/>
            </w:pPr>
            <w:r>
              <w:rPr>
                <w:rFonts w:ascii="Calibri" w:cs="Calibri" w:eastAsia="Calibri" w:hAnsi="Calibri"/>
                <w:b/>
                <w:bCs/>
                <w:color w:val="8A5A00"/>
                <w:sz w:val="21"/>
                <w:szCs w:val="21"/>
              </w:rPr>
              <w:t xml:space="preserve">Hinweis zur Prüfungsrelevanz</w:t>
            </w:r>
          </w:p>
          <w:p>
            <w:pPr>
              <w:spacing w:after="40" w:line="264"/>
            </w:pPr>
            <w:r>
              <w:rPr>
                <w:rFonts w:ascii="Calibri" w:cs="Calibri" w:eastAsia="Calibri" w:hAnsi="Calibri"/>
                <w:color w:val="1A1A1A"/>
                <w:sz w:val="20"/>
                <w:szCs w:val="20"/>
              </w:rPr>
              <w:t xml:space="preserve">Äquivalenzklassen und Grenzwertanalyse sind Standardaufgaben in beiden Fachrichtungen.</w:t>
            </w:r>
          </w:p>
        </w:tc>
      </w:tr>
    </w:tbl>
    <w:p>
      <w:r>
        <w:br w:type="page"/>
      </w:r>
    </w:p>
    <w:p>
      <w:pPr>
        <w:pStyle w:val="Heading2"/>
        <w:spacing w:after="120" w:before="280"/>
      </w:pPr>
      <w:r>
        <w:rPr>
          <w:rFonts w:ascii="Calibri" w:cs="Calibri" w:eastAsia="Calibri" w:hAnsi="Calibri"/>
          <w:b/>
          <w:bCs/>
          <w:color w:val="0066AA"/>
          <w:sz w:val="25"/>
          <w:szCs w:val="25"/>
        </w:rPr>
        <w:t xml:space="preserve">E6  Recht, Datenschutz und Compliance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7526"/>
      </w:tblGrid>
      <w:tr>
        <w:trPr>
          <w:tblHeader/>
        </w:trPr>
        <w:tc>
          <w:tcPr>
            <w:tcW w:type="dxa" w:w="15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Merkmal</w:t>
            </w:r>
          </w:p>
        </w:tc>
        <w:tc>
          <w:tcPr>
            <w:tcW w:type="dxa" w:w="75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Angabe</w:t>
            </w:r>
          </w:p>
        </w:tc>
      </w:tr>
      <w:tr>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Umfang</w:t>
            </w:r>
          </w:p>
        </w:tc>
        <w:tc>
          <w:tcPr>
            <w:tcW w:type="dxa" w:w="75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48 UE</w:t>
            </w:r>
          </w:p>
        </w:tc>
      </w:tr>
      <w:tr>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Spur</w:t>
            </w:r>
          </w:p>
        </w:tc>
        <w:tc>
          <w:tcPr>
            <w:tcW w:type="dxa" w:w="75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gemeinsam</w:t>
            </w:r>
          </w:p>
        </w:tc>
      </w:tr>
      <w:tr>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Methoden</w:t>
            </w:r>
          </w:p>
        </w:tc>
        <w:tc>
          <w:tcPr>
            <w:tcW w:type="dxa" w:w="75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FU, Fallarbeit, Pro-/Contra-Diskussion, Vertragsklausel-Analyse</w:t>
            </w:r>
          </w:p>
        </w:tc>
      </w:tr>
      <w:tr>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Szenario</w:t>
            </w:r>
          </w:p>
        </w:tc>
        <w:tc>
          <w:tcPr>
            <w:tcW w:type="dxa" w:w="75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MedZentrum Lübeck – Gesundheitsdaten, besondere Kategorien nach Art. 9 DSGVO</w:t>
            </w:r>
          </w:p>
        </w:tc>
      </w:tr>
    </w:tbl>
    <w:p>
      <w:pPr>
        <w:spacing w:after="140" w:before="0" w:line="276"/>
      </w:pPr>
      <w:r>
        <w:rPr>
          <w:rFonts w:ascii="Calibri" w:cs="Calibri" w:eastAsia="Calibri" w:hAnsi="Calibri"/>
          <w:color w:val="1A1A1A"/>
          <w:sz w:val="21"/>
          <w:szCs w:val="21"/>
        </w:rPr>
        <w:t xml:space="preserve"/>
      </w:r>
    </w:p>
    <w:p>
      <w:pPr>
        <w:pStyle w:val="Heading3"/>
        <w:spacing w:after="80" w:before="200"/>
      </w:pPr>
      <w:r>
        <w:rPr>
          <w:rFonts w:ascii="Calibri" w:cs="Calibri" w:eastAsia="Calibri" w:hAnsi="Calibri"/>
          <w:b/>
          <w:bCs/>
          <w:color w:val="003366"/>
          <w:sz w:val="22"/>
          <w:szCs w:val="22"/>
        </w:rPr>
        <w:t xml:space="preserve">Lernziele – die Teilnehmenden können …</w:t>
      </w:r>
    </w:p>
    <w:p>
      <w:pPr>
        <w:pStyle w:val="ListParagraph"/>
        <w:numPr>
          <w:ilvl w:val="0"/>
          <w:numId w:val="2"/>
        </w:numPr>
        <w:spacing w:after="60" w:line="264"/>
      </w:pPr>
      <w:r>
        <w:rPr>
          <w:rFonts w:ascii="Calibri" w:cs="Calibri" w:eastAsia="Calibri" w:hAnsi="Calibri"/>
          <w:color w:val="1A1A1A"/>
          <w:sz w:val="21"/>
          <w:szCs w:val="21"/>
        </w:rPr>
        <w:t xml:space="preserve">datenschutzrechtliche Anforderungen in ein IT-Konzept übersetzen</w:t>
      </w:r>
    </w:p>
    <w:p>
      <w:pPr>
        <w:pStyle w:val="ListParagraph"/>
        <w:numPr>
          <w:ilvl w:val="0"/>
          <w:numId w:val="2"/>
        </w:numPr>
        <w:spacing w:after="60" w:line="264"/>
      </w:pPr>
      <w:r>
        <w:rPr>
          <w:rFonts w:ascii="Calibri" w:cs="Calibri" w:eastAsia="Calibri" w:hAnsi="Calibri"/>
          <w:color w:val="1A1A1A"/>
          <w:sz w:val="21"/>
          <w:szCs w:val="21"/>
        </w:rPr>
        <w:t xml:space="preserve">Vertrags- und Lizenzfragen eines Kundenauftrags einordnen</w:t>
      </w:r>
    </w:p>
    <w:p>
      <w:pPr>
        <w:pStyle w:val="ListParagraph"/>
        <w:numPr>
          <w:ilvl w:val="0"/>
          <w:numId w:val="2"/>
        </w:numPr>
        <w:spacing w:after="60" w:line="264"/>
      </w:pPr>
      <w:r>
        <w:rPr>
          <w:rFonts w:ascii="Calibri" w:cs="Calibri" w:eastAsia="Calibri" w:hAnsi="Calibri"/>
          <w:color w:val="1A1A1A"/>
          <w:sz w:val="21"/>
          <w:szCs w:val="21"/>
        </w:rPr>
        <w:t xml:space="preserve">Haftungs- und Gewährleistungsrisiken erkennen und benennen</w:t>
      </w:r>
    </w:p>
    <w:p>
      <w:pPr>
        <w:pStyle w:val="Heading3"/>
        <w:spacing w:after="80" w:before="200"/>
      </w:pPr>
      <w:r>
        <w:rPr>
          <w:rFonts w:ascii="Calibri" w:cs="Calibri" w:eastAsia="Calibri" w:hAnsi="Calibri"/>
          <w:b/>
          <w:bCs/>
          <w:color w:val="003366"/>
          <w:sz w:val="22"/>
          <w:szCs w:val="22"/>
        </w:rPr>
        <w:t xml:space="preserve">Inhalte</w:t>
      </w:r>
    </w:p>
    <w:p>
      <w:pPr>
        <w:pStyle w:val="ListParagraph"/>
        <w:numPr>
          <w:ilvl w:val="0"/>
          <w:numId w:val="2"/>
        </w:numPr>
        <w:spacing w:after="60" w:line="264"/>
      </w:pPr>
      <w:r>
        <w:rPr>
          <w:rFonts w:ascii="Calibri" w:cs="Calibri" w:eastAsia="Calibri" w:hAnsi="Calibri"/>
          <w:color w:val="1A1A1A"/>
          <w:sz w:val="21"/>
          <w:szCs w:val="21"/>
        </w:rPr>
        <w:t xml:space="preserve">DSGVO: Rechtsgrundlagen, Grundsätze, Betroffenenrechte, technische und organisatorische Maßnahmen</w:t>
      </w:r>
    </w:p>
    <w:p>
      <w:pPr>
        <w:pStyle w:val="ListParagraph"/>
        <w:numPr>
          <w:ilvl w:val="0"/>
          <w:numId w:val="2"/>
        </w:numPr>
        <w:spacing w:after="60" w:line="264"/>
      </w:pPr>
      <w:r>
        <w:rPr>
          <w:rFonts w:ascii="Calibri" w:cs="Calibri" w:eastAsia="Calibri" w:hAnsi="Calibri"/>
          <w:color w:val="1A1A1A"/>
          <w:sz w:val="21"/>
          <w:szCs w:val="21"/>
        </w:rPr>
        <w:t xml:space="preserve">Auftragsverarbeitungsvertrag, Verarbeitungsverzeichnis, Löschkonzept, Datenschutz-Folgenabschätzung</w:t>
      </w:r>
    </w:p>
    <w:p>
      <w:pPr>
        <w:pStyle w:val="ListParagraph"/>
        <w:numPr>
          <w:ilvl w:val="0"/>
          <w:numId w:val="2"/>
        </w:numPr>
        <w:spacing w:after="60" w:line="264"/>
      </w:pPr>
      <w:r>
        <w:rPr>
          <w:rFonts w:ascii="Calibri" w:cs="Calibri" w:eastAsia="Calibri" w:hAnsi="Calibri"/>
          <w:color w:val="1A1A1A"/>
          <w:sz w:val="21"/>
          <w:szCs w:val="21"/>
        </w:rPr>
        <w:t xml:space="preserve">Vertragsarten: Werkvertrag vs. Dienstvertrag und ihre Folgen für den Auftrag</w:t>
      </w:r>
    </w:p>
    <w:p>
      <w:pPr>
        <w:pStyle w:val="ListParagraph"/>
        <w:numPr>
          <w:ilvl w:val="0"/>
          <w:numId w:val="2"/>
        </w:numPr>
        <w:spacing w:after="60" w:line="264"/>
      </w:pPr>
      <w:r>
        <w:rPr>
          <w:rFonts w:ascii="Calibri" w:cs="Calibri" w:eastAsia="Calibri" w:hAnsi="Calibri"/>
          <w:color w:val="1A1A1A"/>
          <w:sz w:val="21"/>
          <w:szCs w:val="21"/>
        </w:rPr>
        <w:t xml:space="preserve">SLA und OLA: Kennzahlen, Reaktions- und Wiederherstellungszeiten, Pönalen</w:t>
      </w:r>
    </w:p>
    <w:p>
      <w:pPr>
        <w:pStyle w:val="ListParagraph"/>
        <w:numPr>
          <w:ilvl w:val="0"/>
          <w:numId w:val="2"/>
        </w:numPr>
        <w:spacing w:after="60" w:line="264"/>
      </w:pPr>
      <w:r>
        <w:rPr>
          <w:rFonts w:ascii="Calibri" w:cs="Calibri" w:eastAsia="Calibri" w:hAnsi="Calibri"/>
          <w:color w:val="1A1A1A"/>
          <w:sz w:val="21"/>
          <w:szCs w:val="21"/>
        </w:rPr>
        <w:t xml:space="preserve">Gewährleistung, Haftung, Abnahmewirkung</w:t>
      </w:r>
    </w:p>
    <w:p>
      <w:pPr>
        <w:pStyle w:val="ListParagraph"/>
        <w:numPr>
          <w:ilvl w:val="0"/>
          <w:numId w:val="2"/>
        </w:numPr>
        <w:spacing w:after="60" w:line="264"/>
      </w:pPr>
      <w:r>
        <w:rPr>
          <w:rFonts w:ascii="Calibri" w:cs="Calibri" w:eastAsia="Calibri" w:hAnsi="Calibri"/>
          <w:color w:val="1A1A1A"/>
          <w:sz w:val="21"/>
          <w:szCs w:val="21"/>
        </w:rPr>
        <w:t xml:space="preserve">Lizenzmodelle: proprietär, Open Source (GPL/MIT/Apache), Subskription; Urheberrecht am Quellcode</w:t>
      </w:r>
    </w:p>
    <w:p>
      <w:pPr>
        <w:pStyle w:val="ListParagraph"/>
        <w:numPr>
          <w:ilvl w:val="0"/>
          <w:numId w:val="2"/>
        </w:numPr>
        <w:spacing w:after="60" w:line="264"/>
      </w:pPr>
      <w:r>
        <w:rPr>
          <w:rFonts w:ascii="Calibri" w:cs="Calibri" w:eastAsia="Calibri" w:hAnsi="Calibri"/>
          <w:color w:val="1A1A1A"/>
          <w:sz w:val="21"/>
          <w:szCs w:val="21"/>
        </w:rPr>
        <w:t xml:space="preserve">IT-Sicherheitsgesetz und NIS2, Barrierefreiheitsstärkungsgesetz (BFSG)</w:t>
      </w:r>
    </w:p>
    <w:p>
      <w:pPr>
        <w:pStyle w:val="Heading3"/>
        <w:spacing w:after="80" w:before="200"/>
      </w:pPr>
      <w:r>
        <w:rPr>
          <w:rFonts w:ascii="Calibri" w:cs="Calibri" w:eastAsia="Calibri" w:hAnsi="Calibri"/>
          <w:b/>
          <w:bCs/>
          <w:color w:val="003366"/>
          <w:sz w:val="22"/>
          <w:szCs w:val="22"/>
        </w:rPr>
        <w:t xml:space="preserve">Materialsatz</w:t>
      </w:r>
    </w:p>
    <w:p>
      <w:pPr>
        <w:spacing w:after="120" w:before="0" w:line="276"/>
      </w:pPr>
      <w:r>
        <w:rPr>
          <w:rFonts w:ascii="Calibri" w:cs="Calibri" w:eastAsia="Calibri" w:hAnsi="Calibri"/>
          <w:color w:val="1A1A1A"/>
          <w:sz w:val="21"/>
          <w:szCs w:val="21"/>
        </w:rPr>
        <w:t xml:space="preserve">PPTX Einstieg, Handout, Fallsammlung, Aufgabenheft/Lösungsheft, AV-Vertrag-Musterauszug</w:t>
      </w:r>
    </w:p>
    <w:p>
      <w:pPr>
        <w:spacing w:after="60" w:before="0" w:line="276"/>
      </w:pPr>
      <w:r>
        <w:rPr>
          <w:rFonts w:ascii="Calibri" w:cs="Calibri" w:eastAsia="Calibri" w:hAnsi="Calibri"/>
          <w:color w:val="1A1A1A"/>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0A500" w:sz="6"/>
              <w:left w:val="single" w:color="F0A500" w:sz="18"/>
              <w:bottom w:val="single" w:color="F0A500" w:sz="6"/>
              <w:right w:val="single" w:color="F0A500" w:sz="6"/>
            </w:tcBorders>
            <w:shd w:fill="FFF4DC" w:color="auto" w:val="clear"/>
            <w:tcMar>
              <w:top w:type="dxa" w:w="120"/>
              <w:left w:type="dxa" w:w="160"/>
              <w:bottom w:type="dxa" w:w="120"/>
              <w:right w:type="dxa" w:w="160"/>
            </w:tcMar>
          </w:tcPr>
          <w:p>
            <w:pPr>
              <w:spacing w:after="60"/>
            </w:pPr>
            <w:r>
              <w:rPr>
                <w:rFonts w:ascii="Calibri" w:cs="Calibri" w:eastAsia="Calibri" w:hAnsi="Calibri"/>
                <w:b/>
                <w:bCs/>
                <w:color w:val="8A5A00"/>
                <w:sz w:val="21"/>
                <w:szCs w:val="21"/>
              </w:rPr>
              <w:t xml:space="preserve">Hinweis zur Prüfungsrelevanz</w:t>
            </w:r>
          </w:p>
          <w:p>
            <w:pPr>
              <w:spacing w:after="40" w:line="264"/>
            </w:pPr>
            <w:r>
              <w:rPr>
                <w:rFonts w:ascii="Calibri" w:cs="Calibri" w:eastAsia="Calibri" w:hAnsi="Calibri"/>
                <w:color w:val="1A1A1A"/>
                <w:sz w:val="20"/>
                <w:szCs w:val="20"/>
              </w:rPr>
              <w:t xml:space="preserve">DSGVO und SLA sind in beiden Fachrichtungen prüfungsrelevant und werden regelmäßig als Transferaufgabe gestellt.</w:t>
            </w:r>
          </w:p>
        </w:tc>
      </w:tr>
    </w:tbl>
    <w:p>
      <w:r>
        <w:br w:type="page"/>
      </w:r>
    </w:p>
    <w:p>
      <w:pPr>
        <w:pStyle w:val="Heading2"/>
        <w:spacing w:after="120" w:before="280"/>
      </w:pPr>
      <w:r>
        <w:rPr>
          <w:rFonts w:ascii="Calibri" w:cs="Calibri" w:eastAsia="Calibri" w:hAnsi="Calibri"/>
          <w:b/>
          <w:bCs/>
          <w:color w:val="0066AA"/>
          <w:sz w:val="25"/>
          <w:szCs w:val="25"/>
        </w:rPr>
        <w:t xml:space="preserve">E7  Abnahme, Übergabe, Schulung und Dokumentation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7526"/>
      </w:tblGrid>
      <w:tr>
        <w:trPr>
          <w:tblHeader/>
        </w:trPr>
        <w:tc>
          <w:tcPr>
            <w:tcW w:type="dxa" w:w="15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Merkmal</w:t>
            </w:r>
          </w:p>
        </w:tc>
        <w:tc>
          <w:tcPr>
            <w:tcW w:type="dxa" w:w="75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Angabe</w:t>
            </w:r>
          </w:p>
        </w:tc>
      </w:tr>
      <w:tr>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Umfang</w:t>
            </w:r>
          </w:p>
        </w:tc>
        <w:tc>
          <w:tcPr>
            <w:tcW w:type="dxa" w:w="75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60 UE</w:t>
            </w:r>
          </w:p>
        </w:tc>
      </w:tr>
      <w:tr>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Spur</w:t>
            </w:r>
          </w:p>
        </w:tc>
        <w:tc>
          <w:tcPr>
            <w:tcW w:type="dxa" w:w="75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gemeinsam</w:t>
            </w:r>
          </w:p>
        </w:tc>
      </w:tr>
      <w:tr>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Methoden</w:t>
            </w:r>
          </w:p>
        </w:tc>
        <w:tc>
          <w:tcPr>
            <w:tcW w:type="dxa" w:w="75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FU, Rollenspiel Abnahmegespräch, Schulung durch Teilnehmende (Lehren als Lernen)</w:t>
            </w:r>
          </w:p>
        </w:tc>
      </w:tr>
      <w:tr>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Szenario</w:t>
            </w:r>
          </w:p>
        </w:tc>
        <w:tc>
          <w:tcPr>
            <w:tcW w:type="dxa" w:w="75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Übergabe der in E4 entstandenen Ergebnisse an eine andere Gruppe</w:t>
            </w:r>
          </w:p>
        </w:tc>
      </w:tr>
    </w:tbl>
    <w:p>
      <w:pPr>
        <w:spacing w:after="140" w:before="0" w:line="276"/>
      </w:pPr>
      <w:r>
        <w:rPr>
          <w:rFonts w:ascii="Calibri" w:cs="Calibri" w:eastAsia="Calibri" w:hAnsi="Calibri"/>
          <w:color w:val="1A1A1A"/>
          <w:sz w:val="21"/>
          <w:szCs w:val="21"/>
        </w:rPr>
        <w:t xml:space="preserve"/>
      </w:r>
    </w:p>
    <w:p>
      <w:pPr>
        <w:pStyle w:val="Heading3"/>
        <w:spacing w:after="80" w:before="200"/>
      </w:pPr>
      <w:r>
        <w:rPr>
          <w:rFonts w:ascii="Calibri" w:cs="Calibri" w:eastAsia="Calibri" w:hAnsi="Calibri"/>
          <w:b/>
          <w:bCs/>
          <w:color w:val="003366"/>
          <w:sz w:val="22"/>
          <w:szCs w:val="22"/>
        </w:rPr>
        <w:t xml:space="preserve">Lernziele – die Teilnehmenden können …</w:t>
      </w:r>
    </w:p>
    <w:p>
      <w:pPr>
        <w:pStyle w:val="ListParagraph"/>
        <w:numPr>
          <w:ilvl w:val="0"/>
          <w:numId w:val="2"/>
        </w:numPr>
        <w:spacing w:after="60" w:line="264"/>
      </w:pPr>
      <w:r>
        <w:rPr>
          <w:rFonts w:ascii="Calibri" w:cs="Calibri" w:eastAsia="Calibri" w:hAnsi="Calibri"/>
          <w:color w:val="1A1A1A"/>
          <w:sz w:val="21"/>
          <w:szCs w:val="21"/>
        </w:rPr>
        <w:t xml:space="preserve">eine Abnahme vorbereiten, durchführen und rechtssicher dokumentieren</w:t>
      </w:r>
    </w:p>
    <w:p>
      <w:pPr>
        <w:pStyle w:val="ListParagraph"/>
        <w:numPr>
          <w:ilvl w:val="0"/>
          <w:numId w:val="2"/>
        </w:numPr>
        <w:spacing w:after="60" w:line="264"/>
      </w:pPr>
      <w:r>
        <w:rPr>
          <w:rFonts w:ascii="Calibri" w:cs="Calibri" w:eastAsia="Calibri" w:hAnsi="Calibri"/>
          <w:color w:val="1A1A1A"/>
          <w:sz w:val="21"/>
          <w:szCs w:val="21"/>
        </w:rPr>
        <w:t xml:space="preserve">adressatengerechte Dokumentation erstellen</w:t>
      </w:r>
    </w:p>
    <w:p>
      <w:pPr>
        <w:pStyle w:val="ListParagraph"/>
        <w:numPr>
          <w:ilvl w:val="0"/>
          <w:numId w:val="2"/>
        </w:numPr>
        <w:spacing w:after="60" w:line="264"/>
      </w:pPr>
      <w:r>
        <w:rPr>
          <w:rFonts w:ascii="Calibri" w:cs="Calibri" w:eastAsia="Calibri" w:hAnsi="Calibri"/>
          <w:color w:val="1A1A1A"/>
          <w:sz w:val="21"/>
          <w:szCs w:val="21"/>
        </w:rPr>
        <w:t xml:space="preserve">eine Anwenderschulung planen und durchführen</w:t>
      </w:r>
    </w:p>
    <w:p>
      <w:pPr>
        <w:pStyle w:val="Heading3"/>
        <w:spacing w:after="80" w:before="200"/>
      </w:pPr>
      <w:r>
        <w:rPr>
          <w:rFonts w:ascii="Calibri" w:cs="Calibri" w:eastAsia="Calibri" w:hAnsi="Calibri"/>
          <w:b/>
          <w:bCs/>
          <w:color w:val="003366"/>
          <w:sz w:val="22"/>
          <w:szCs w:val="22"/>
        </w:rPr>
        <w:t xml:space="preserve">Inhalte</w:t>
      </w:r>
    </w:p>
    <w:p>
      <w:pPr>
        <w:pStyle w:val="ListParagraph"/>
        <w:numPr>
          <w:ilvl w:val="0"/>
          <w:numId w:val="2"/>
        </w:numPr>
        <w:spacing w:after="60" w:line="264"/>
      </w:pPr>
      <w:r>
        <w:rPr>
          <w:rFonts w:ascii="Calibri" w:cs="Calibri" w:eastAsia="Calibri" w:hAnsi="Calibri"/>
          <w:color w:val="1A1A1A"/>
          <w:sz w:val="21"/>
          <w:szCs w:val="21"/>
        </w:rPr>
        <w:t xml:space="preserve">Abnahmeprotokoll, Mängelklassifizierung, Restleistungen, Teilabnahme</w:t>
      </w:r>
    </w:p>
    <w:p>
      <w:pPr>
        <w:pStyle w:val="ListParagraph"/>
        <w:numPr>
          <w:ilvl w:val="0"/>
          <w:numId w:val="2"/>
        </w:numPr>
        <w:spacing w:after="60" w:line="264"/>
      </w:pPr>
      <w:r>
        <w:rPr>
          <w:rFonts w:ascii="Calibri" w:cs="Calibri" w:eastAsia="Calibri" w:hAnsi="Calibri"/>
          <w:color w:val="1A1A1A"/>
          <w:sz w:val="21"/>
          <w:szCs w:val="21"/>
        </w:rPr>
        <w:t xml:space="preserve">Betriebshandbuch, Systemdokumentation, Benutzerdokumentation – Abgrenzung und Zielgruppe</w:t>
      </w:r>
    </w:p>
    <w:p>
      <w:pPr>
        <w:pStyle w:val="ListParagraph"/>
        <w:numPr>
          <w:ilvl w:val="0"/>
          <w:numId w:val="2"/>
        </w:numPr>
        <w:spacing w:after="60" w:line="264"/>
      </w:pPr>
      <w:r>
        <w:rPr>
          <w:rFonts w:ascii="Calibri" w:cs="Calibri" w:eastAsia="Calibri" w:hAnsi="Calibri"/>
          <w:color w:val="1A1A1A"/>
          <w:sz w:val="21"/>
          <w:szCs w:val="21"/>
        </w:rPr>
        <w:t xml:space="preserve">Schulungskonzept: Lernziele, Methodenwahl, Schulungsunterlagen, Durchführung</w:t>
      </w:r>
    </w:p>
    <w:p>
      <w:pPr>
        <w:pStyle w:val="ListParagraph"/>
        <w:numPr>
          <w:ilvl w:val="0"/>
          <w:numId w:val="2"/>
        </w:numPr>
        <w:spacing w:after="60" w:line="264"/>
      </w:pPr>
      <w:r>
        <w:rPr>
          <w:rFonts w:ascii="Calibri" w:cs="Calibri" w:eastAsia="Calibri" w:hAnsi="Calibri"/>
          <w:color w:val="1A1A1A"/>
          <w:sz w:val="21"/>
          <w:szCs w:val="21"/>
        </w:rPr>
        <w:t xml:space="preserve">Übergabe an Betrieb und Support, Ticketprozess (Anschluss Modul G), Wartungsvertrag</w:t>
      </w:r>
    </w:p>
    <w:p>
      <w:pPr>
        <w:pStyle w:val="ListParagraph"/>
        <w:numPr>
          <w:ilvl w:val="0"/>
          <w:numId w:val="2"/>
        </w:numPr>
        <w:spacing w:after="60" w:line="264"/>
      </w:pPr>
      <w:r>
        <w:rPr>
          <w:rFonts w:ascii="Calibri" w:cs="Calibri" w:eastAsia="Calibri" w:hAnsi="Calibri"/>
          <w:color w:val="1A1A1A"/>
          <w:sz w:val="21"/>
          <w:szCs w:val="21"/>
        </w:rPr>
        <w:t xml:space="preserve">Projektabschluss, Nachkalkulation, Lessons Learned</w:t>
      </w:r>
    </w:p>
    <w:p>
      <w:pPr>
        <w:pStyle w:val="Heading3"/>
        <w:spacing w:after="80" w:before="200"/>
      </w:pPr>
      <w:r>
        <w:rPr>
          <w:rFonts w:ascii="Calibri" w:cs="Calibri" w:eastAsia="Calibri" w:hAnsi="Calibri"/>
          <w:b/>
          <w:bCs/>
          <w:color w:val="003366"/>
          <w:sz w:val="22"/>
          <w:szCs w:val="22"/>
        </w:rPr>
        <w:t xml:space="preserve">Materialsatz</w:t>
      </w:r>
    </w:p>
    <w:p>
      <w:pPr>
        <w:spacing w:after="120" w:before="0" w:line="276"/>
      </w:pPr>
      <w:r>
        <w:rPr>
          <w:rFonts w:ascii="Calibri" w:cs="Calibri" w:eastAsia="Calibri" w:hAnsi="Calibri"/>
          <w:color w:val="1A1A1A"/>
          <w:sz w:val="21"/>
          <w:szCs w:val="21"/>
        </w:rPr>
        <w:t xml:space="preserve">PPTX Einstieg, Handout, Abnahmeprotokoll-Vorlage, Dokumentationsvorlagen, Bewertungsbogen Schulung</w:t>
      </w:r>
    </w:p>
    <w:p>
      <w:pPr>
        <w:spacing w:after="60" w:before="0" w:line="276"/>
      </w:pPr>
      <w:r>
        <w:rPr>
          <w:rFonts w:ascii="Calibri" w:cs="Calibri" w:eastAsia="Calibri" w:hAnsi="Calibri"/>
          <w:color w:val="1A1A1A"/>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0A500" w:sz="6"/>
              <w:left w:val="single" w:color="F0A500" w:sz="18"/>
              <w:bottom w:val="single" w:color="F0A500" w:sz="6"/>
              <w:right w:val="single" w:color="F0A500" w:sz="6"/>
            </w:tcBorders>
            <w:shd w:fill="FFF4DC" w:color="auto" w:val="clear"/>
            <w:tcMar>
              <w:top w:type="dxa" w:w="120"/>
              <w:left w:type="dxa" w:w="160"/>
              <w:bottom w:type="dxa" w:w="120"/>
              <w:right w:type="dxa" w:w="160"/>
            </w:tcMar>
          </w:tcPr>
          <w:p>
            <w:pPr>
              <w:spacing w:after="60"/>
            </w:pPr>
            <w:r>
              <w:rPr>
                <w:rFonts w:ascii="Calibri" w:cs="Calibri" w:eastAsia="Calibri" w:hAnsi="Calibri"/>
                <w:b/>
                <w:bCs/>
                <w:color w:val="8A5A00"/>
                <w:sz w:val="21"/>
                <w:szCs w:val="21"/>
              </w:rPr>
              <w:t xml:space="preserve">Hinweis zur Prüfungsrelevanz</w:t>
            </w:r>
          </w:p>
          <w:p>
            <w:pPr>
              <w:spacing w:after="40" w:line="264"/>
            </w:pPr>
            <w:r>
              <w:rPr>
                <w:rFonts w:ascii="Calibri" w:cs="Calibri" w:eastAsia="Calibri" w:hAnsi="Calibri"/>
                <w:color w:val="1A1A1A"/>
                <w:sz w:val="20"/>
                <w:szCs w:val="20"/>
              </w:rPr>
              <w:t xml:space="preserve">Abnahme und Dokumentation sind zugleich die Formalia der eigenen AP2-Projektarbeit – hier doppelt nutzbar.</w:t>
            </w:r>
          </w:p>
        </w:tc>
      </w:tr>
    </w:tbl>
    <w:p>
      <w:r>
        <w:br w:type="page"/>
      </w:r>
    </w:p>
    <w:p>
      <w:pPr>
        <w:pStyle w:val="Heading2"/>
        <w:spacing w:after="120" w:before="280"/>
      </w:pPr>
      <w:r>
        <w:rPr>
          <w:rFonts w:ascii="Calibri" w:cs="Calibri" w:eastAsia="Calibri" w:hAnsi="Calibri"/>
          <w:b/>
          <w:bCs/>
          <w:color w:val="0066AA"/>
          <w:sz w:val="25"/>
          <w:szCs w:val="25"/>
        </w:rPr>
        <w:t xml:space="preserve">E8  Capstone – vollständiger Kundenauftrag im AP2-Format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7526"/>
      </w:tblGrid>
      <w:tr>
        <w:trPr>
          <w:tblHeader/>
        </w:trPr>
        <w:tc>
          <w:tcPr>
            <w:tcW w:type="dxa" w:w="15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Merkmal</w:t>
            </w:r>
          </w:p>
        </w:tc>
        <w:tc>
          <w:tcPr>
            <w:tcW w:type="dxa" w:w="75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Angabe</w:t>
            </w:r>
          </w:p>
        </w:tc>
      </w:tr>
      <w:tr>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Umfang</w:t>
            </w:r>
          </w:p>
        </w:tc>
        <w:tc>
          <w:tcPr>
            <w:tcW w:type="dxa" w:w="75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170 UE</w:t>
            </w:r>
          </w:p>
        </w:tc>
      </w:tr>
      <w:tr>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Spur</w:t>
            </w:r>
          </w:p>
        </w:tc>
        <w:tc>
          <w:tcPr>
            <w:tcW w:type="dxa" w:w="75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getrennt FIAE / FISI</w:t>
            </w:r>
          </w:p>
        </w:tc>
      </w:tr>
      <w:tr>
        <w:tc>
          <w:tcPr>
            <w:tcW w:type="dxa" w:w="15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Methoden</w:t>
            </w:r>
          </w:p>
        </w:tc>
        <w:tc>
          <w:tcPr>
            <w:tcW w:type="dxa" w:w="75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Eigenständige Projektarbeit in Teams, Coaching statt Unterricht, feste Sprechzeiten</w:t>
            </w:r>
          </w:p>
        </w:tc>
      </w:tr>
      <w:tr>
        <w:tc>
          <w:tcPr>
            <w:tcW w:type="dxa" w:w="15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bCs/>
                <w:color w:val="1A1A1A"/>
                <w:sz w:val="20"/>
                <w:szCs w:val="20"/>
              </w:rPr>
              <w:t xml:space="preserve">Szenario</w:t>
            </w:r>
          </w:p>
        </w:tc>
        <w:tc>
          <w:tcPr>
            <w:tcW w:type="dxa" w:w="75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b w:val="false"/>
                <w:bCs w:val="false"/>
                <w:color w:val="1A1A1A"/>
                <w:sz w:val="20"/>
                <w:szCs w:val="20"/>
              </w:rPr>
              <w:t xml:space="preserve">Auswahl aus: Nordfracht Logistik GmbH, MedZentrum Lübeck, BalticPort AG, NetCore Solutions GmbH</w:t>
            </w:r>
          </w:p>
        </w:tc>
      </w:tr>
    </w:tbl>
    <w:p>
      <w:pPr>
        <w:spacing w:after="140" w:before="0" w:line="276"/>
      </w:pPr>
      <w:r>
        <w:rPr>
          <w:rFonts w:ascii="Calibri" w:cs="Calibri" w:eastAsia="Calibri" w:hAnsi="Calibri"/>
          <w:color w:val="1A1A1A"/>
          <w:sz w:val="21"/>
          <w:szCs w:val="21"/>
        </w:rPr>
        <w:t xml:space="preserve"/>
      </w:r>
    </w:p>
    <w:p>
      <w:pPr>
        <w:pStyle w:val="Heading3"/>
        <w:spacing w:after="80" w:before="200"/>
      </w:pPr>
      <w:r>
        <w:rPr>
          <w:rFonts w:ascii="Calibri" w:cs="Calibri" w:eastAsia="Calibri" w:hAnsi="Calibri"/>
          <w:b/>
          <w:bCs/>
          <w:color w:val="003366"/>
          <w:sz w:val="22"/>
          <w:szCs w:val="22"/>
        </w:rPr>
        <w:t xml:space="preserve">Lernziele – die Teilnehmenden können …</w:t>
      </w:r>
    </w:p>
    <w:p>
      <w:pPr>
        <w:pStyle w:val="ListParagraph"/>
        <w:numPr>
          <w:ilvl w:val="0"/>
          <w:numId w:val="2"/>
        </w:numPr>
        <w:spacing w:after="60" w:line="264"/>
      </w:pPr>
      <w:r>
        <w:rPr>
          <w:rFonts w:ascii="Calibri" w:cs="Calibri" w:eastAsia="Calibri" w:hAnsi="Calibri"/>
          <w:color w:val="1A1A1A"/>
          <w:sz w:val="21"/>
          <w:szCs w:val="21"/>
        </w:rPr>
        <w:t xml:space="preserve">einen Kundenauftrag eigenständig von der Analyse bis zur Übergabe durchführen</w:t>
      </w:r>
    </w:p>
    <w:p>
      <w:pPr>
        <w:pStyle w:val="ListParagraph"/>
        <w:numPr>
          <w:ilvl w:val="0"/>
          <w:numId w:val="2"/>
        </w:numPr>
        <w:spacing w:after="60" w:line="264"/>
      </w:pPr>
      <w:r>
        <w:rPr>
          <w:rFonts w:ascii="Calibri" w:cs="Calibri" w:eastAsia="Calibri" w:hAnsi="Calibri"/>
          <w:color w:val="1A1A1A"/>
          <w:sz w:val="21"/>
          <w:szCs w:val="21"/>
        </w:rPr>
        <w:t xml:space="preserve">die Durchführung in einer Projektdokumentation nach IHK-Vorgaben darstellen</w:t>
      </w:r>
    </w:p>
    <w:p>
      <w:pPr>
        <w:pStyle w:val="ListParagraph"/>
        <w:numPr>
          <w:ilvl w:val="0"/>
          <w:numId w:val="2"/>
        </w:numPr>
        <w:spacing w:after="60" w:line="264"/>
      </w:pPr>
      <w:r>
        <w:rPr>
          <w:rFonts w:ascii="Calibri" w:cs="Calibri" w:eastAsia="Calibri" w:hAnsi="Calibri"/>
          <w:color w:val="1A1A1A"/>
          <w:sz w:val="21"/>
          <w:szCs w:val="21"/>
        </w:rPr>
        <w:t xml:space="preserve">die Arbeit präsentieren und im Fachgespräch fachlich vertreten</w:t>
      </w:r>
    </w:p>
    <w:p>
      <w:pPr>
        <w:pStyle w:val="Heading3"/>
        <w:spacing w:after="80" w:before="200"/>
      </w:pPr>
      <w:r>
        <w:rPr>
          <w:rFonts w:ascii="Calibri" w:cs="Calibri" w:eastAsia="Calibri" w:hAnsi="Calibri"/>
          <w:b/>
          <w:bCs/>
          <w:color w:val="003366"/>
          <w:sz w:val="22"/>
          <w:szCs w:val="22"/>
        </w:rPr>
        <w:t xml:space="preserve">Inhalte</w:t>
      </w:r>
    </w:p>
    <w:p>
      <w:pPr>
        <w:pStyle w:val="ListParagraph"/>
        <w:numPr>
          <w:ilvl w:val="0"/>
          <w:numId w:val="2"/>
        </w:numPr>
        <w:spacing w:after="60" w:line="264"/>
      </w:pPr>
      <w:r>
        <w:rPr>
          <w:rFonts w:ascii="Calibri" w:cs="Calibri" w:eastAsia="Calibri" w:hAnsi="Calibri"/>
          <w:color w:val="1A1A1A"/>
          <w:sz w:val="21"/>
          <w:szCs w:val="21"/>
        </w:rPr>
        <w:t xml:space="preserve">Projektantrag nach IHK-Muster, Genehmigung durch die Lehrkraft</w:t>
      </w:r>
    </w:p>
    <w:p>
      <w:pPr>
        <w:pStyle w:val="ListParagraph"/>
        <w:numPr>
          <w:ilvl w:val="0"/>
          <w:numId w:val="2"/>
        </w:numPr>
        <w:spacing w:after="60" w:line="264"/>
      </w:pPr>
      <w:r>
        <w:rPr>
          <w:rFonts w:ascii="Calibri" w:cs="Calibri" w:eastAsia="Calibri" w:hAnsi="Calibri"/>
          <w:color w:val="1A1A1A"/>
          <w:sz w:val="21"/>
          <w:szCs w:val="21"/>
        </w:rPr>
        <w:t xml:space="preserve">Durchführung mit Zeiterfassung und Soll-Ist-Vergleich</w:t>
      </w:r>
    </w:p>
    <w:p>
      <w:pPr>
        <w:pStyle w:val="ListParagraph"/>
        <w:numPr>
          <w:ilvl w:val="0"/>
          <w:numId w:val="2"/>
        </w:numPr>
        <w:spacing w:after="60" w:line="264"/>
      </w:pPr>
      <w:r>
        <w:rPr>
          <w:rFonts w:ascii="Calibri" w:cs="Calibri" w:eastAsia="Calibri" w:hAnsi="Calibri"/>
          <w:color w:val="1A1A1A"/>
          <w:sz w:val="21"/>
          <w:szCs w:val="21"/>
        </w:rPr>
        <w:t xml:space="preserve">Projektdokumentation mit Anlagen, Umfang und Form nach IHK-Vorgabe</w:t>
      </w:r>
    </w:p>
    <w:p>
      <w:pPr>
        <w:pStyle w:val="ListParagraph"/>
        <w:numPr>
          <w:ilvl w:val="0"/>
          <w:numId w:val="2"/>
        </w:numPr>
        <w:spacing w:after="60" w:line="264"/>
      </w:pPr>
      <w:r>
        <w:rPr>
          <w:rFonts w:ascii="Calibri" w:cs="Calibri" w:eastAsia="Calibri" w:hAnsi="Calibri"/>
          <w:color w:val="1A1A1A"/>
          <w:sz w:val="21"/>
          <w:szCs w:val="21"/>
        </w:rPr>
        <w:t xml:space="preserve">Präsentation (15 Minuten) mit anschließendem Fachgespräch (15 Minuten)</w:t>
      </w:r>
    </w:p>
    <w:p>
      <w:pPr>
        <w:pStyle w:val="ListParagraph"/>
        <w:numPr>
          <w:ilvl w:val="0"/>
          <w:numId w:val="2"/>
        </w:numPr>
        <w:spacing w:after="60" w:line="264"/>
      </w:pPr>
      <w:r>
        <w:rPr>
          <w:rFonts w:ascii="Calibri" w:cs="Calibri" w:eastAsia="Calibri" w:hAnsi="Calibri"/>
          <w:color w:val="1A1A1A"/>
          <w:sz w:val="21"/>
          <w:szCs w:val="21"/>
        </w:rPr>
        <w:t xml:space="preserve">Kollegiale Zwischenreviews an zwei Meilensteinen</w:t>
      </w:r>
    </w:p>
    <w:p>
      <w:pPr>
        <w:pStyle w:val="Heading3"/>
        <w:spacing w:after="80" w:before="200"/>
      </w:pPr>
      <w:r>
        <w:rPr>
          <w:rFonts w:ascii="Calibri" w:cs="Calibri" w:eastAsia="Calibri" w:hAnsi="Calibri"/>
          <w:b/>
          <w:bCs/>
          <w:color w:val="003366"/>
          <w:sz w:val="22"/>
          <w:szCs w:val="22"/>
        </w:rPr>
        <w:t xml:space="preserve">Materialsatz</w:t>
      </w:r>
    </w:p>
    <w:p>
      <w:pPr>
        <w:spacing w:after="120" w:before="0" w:line="276"/>
      </w:pPr>
      <w:r>
        <w:rPr>
          <w:rFonts w:ascii="Calibri" w:cs="Calibri" w:eastAsia="Calibri" w:hAnsi="Calibri"/>
          <w:color w:val="1A1A1A"/>
          <w:sz w:val="21"/>
          <w:szCs w:val="21"/>
        </w:rPr>
        <w:t xml:space="preserve">Projektantragsvorlage, Dokumentationsvorlage, Zeiterfassungsbogen, Bewertungsraster, Fragenkatalog Fachgespräch</w:t>
      </w:r>
    </w:p>
    <w:p>
      <w:pPr>
        <w:spacing w:after="60" w:before="0" w:line="276"/>
      </w:pPr>
      <w:r>
        <w:rPr>
          <w:rFonts w:ascii="Calibri" w:cs="Calibri" w:eastAsia="Calibri" w:hAnsi="Calibri"/>
          <w:color w:val="1A1A1A"/>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0A500" w:sz="6"/>
              <w:left w:val="single" w:color="F0A500" w:sz="18"/>
              <w:bottom w:val="single" w:color="F0A500" w:sz="6"/>
              <w:right w:val="single" w:color="F0A500" w:sz="6"/>
            </w:tcBorders>
            <w:shd w:fill="FFF4DC" w:color="auto" w:val="clear"/>
            <w:tcMar>
              <w:top w:type="dxa" w:w="120"/>
              <w:left w:type="dxa" w:w="160"/>
              <w:bottom w:type="dxa" w:w="120"/>
              <w:right w:type="dxa" w:w="160"/>
            </w:tcMar>
          </w:tcPr>
          <w:p>
            <w:pPr>
              <w:spacing w:after="60"/>
            </w:pPr>
            <w:r>
              <w:rPr>
                <w:rFonts w:ascii="Calibri" w:cs="Calibri" w:eastAsia="Calibri" w:hAnsi="Calibri"/>
                <w:b/>
                <w:bCs/>
                <w:color w:val="8A5A00"/>
                <w:sz w:val="21"/>
                <w:szCs w:val="21"/>
              </w:rPr>
              <w:t xml:space="preserve">Hinweis zur Prüfungsrelevanz</w:t>
            </w:r>
          </w:p>
          <w:p>
            <w:pPr>
              <w:spacing w:after="40" w:line="264"/>
            </w:pPr>
            <w:r>
              <w:rPr>
                <w:rFonts w:ascii="Calibri" w:cs="Calibri" w:eastAsia="Calibri" w:hAnsi="Calibri"/>
                <w:color w:val="1A1A1A"/>
                <w:sz w:val="20"/>
                <w:szCs w:val="20"/>
              </w:rPr>
              <w:t xml:space="preserve">Dies ist die Generalprobe für Teil A der AP2. Bewertungsraster und Zeitvorgaben bewusst identisch zur IHK-Prüfung.</w:t>
            </w:r>
          </w:p>
        </w:tc>
      </w:tr>
    </w:tbl>
    <w:p>
      <w:pPr>
        <w:spacing w:after="200" w:before="0" w:line="276"/>
      </w:pPr>
      <w:r>
        <w:rPr>
          <w:rFonts w:ascii="Calibri" w:cs="Calibri" w:eastAsia="Calibri" w:hAnsi="Calibri"/>
          <w:color w:val="1A1A1A"/>
          <w:sz w:val="21"/>
          <w:szCs w:val="21"/>
        </w:rPr>
        <w:t xml:space="preserve"/>
      </w:r>
    </w:p>
    <w:p>
      <w:r>
        <w:br w:type="page"/>
      </w:r>
    </w:p>
    <w:p>
      <w:pPr>
        <w:pStyle w:val="Heading1"/>
        <w:pBdr>
          <w:bottom w:val="single" w:color="F0A500" w:sz="12" w:space="4"/>
        </w:pBdr>
        <w:spacing w:after="180" w:before="360"/>
      </w:pPr>
      <w:r>
        <w:rPr>
          <w:rFonts w:ascii="Calibri" w:cs="Calibri" w:eastAsia="Calibri" w:hAnsi="Calibri"/>
          <w:b/>
          <w:bCs/>
          <w:color w:val="003366"/>
          <w:sz w:val="30"/>
          <w:szCs w:val="30"/>
        </w:rPr>
        <w:t xml:space="preserve">4  Leistungsbewertung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900"/>
        <w:gridCol w:w="3126"/>
        <w:gridCol w:w="1400"/>
        <w:gridCol w:w="1600"/>
      </w:tblGrid>
      <w:tr>
        <w:trPr>
          <w:tblHeader/>
        </w:trPr>
        <w:tc>
          <w:tcPr>
            <w:tcW w:type="dxa" w:w="29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Nachweis</w:t>
            </w:r>
          </w:p>
        </w:tc>
        <w:tc>
          <w:tcPr>
            <w:tcW w:type="dxa" w:w="31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Gegenstand</w:t>
            </w:r>
          </w:p>
        </w:tc>
        <w:tc>
          <w:tcPr>
            <w:tcW w:type="dxa" w:w="14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center"/>
            </w:pPr>
            <w:r>
              <w:rPr>
                <w:rFonts w:ascii="Calibri" w:cs="Calibri" w:eastAsia="Calibri" w:hAnsi="Calibri"/>
                <w:b/>
                <w:bCs/>
                <w:color w:val="FFFFFF"/>
                <w:sz w:val="20"/>
                <w:szCs w:val="20"/>
              </w:rPr>
              <w:t xml:space="preserve">Punkte</w:t>
            </w:r>
          </w:p>
        </w:tc>
        <w:tc>
          <w:tcPr>
            <w:tcW w:type="dxa" w:w="1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center"/>
            </w:pPr>
            <w:r>
              <w:rPr>
                <w:rFonts w:ascii="Calibri" w:cs="Calibri" w:eastAsia="Calibri" w:hAnsi="Calibri"/>
                <w:b/>
                <w:bCs/>
                <w:color w:val="FFFFFF"/>
                <w:sz w:val="20"/>
                <w:szCs w:val="20"/>
              </w:rPr>
              <w:t xml:space="preserve">Anteil</w:t>
            </w:r>
          </w:p>
        </w:tc>
      </w:tr>
      <w:tr>
        <w:tc>
          <w:tcPr>
            <w:tcW w:type="dxa" w:w="29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Zwischenklausur (nach E3)</w:t>
            </w:r>
          </w:p>
        </w:tc>
        <w:tc>
          <w:tcPr>
            <w:tcW w:type="dxa" w:w="31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Theorie E1–E3</w:t>
            </w:r>
          </w:p>
        </w:tc>
        <w:tc>
          <w:tcPr>
            <w:tcW w:type="dxa" w:w="1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100 Punkte</w:t>
            </w:r>
          </w:p>
        </w:tc>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30 %</w:t>
            </w:r>
          </w:p>
        </w:tc>
      </w:tr>
      <w:tr>
        <w:tc>
          <w:tcPr>
            <w:tcW w:type="dxa" w:w="29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Projektdokumentation (E8)</w:t>
            </w:r>
          </w:p>
        </w:tc>
        <w:tc>
          <w:tcPr>
            <w:tcW w:type="dxa" w:w="31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Inhalt, Struktur, Nachvollziehbarkeit</w:t>
            </w:r>
          </w:p>
        </w:tc>
        <w:tc>
          <w:tcPr>
            <w:tcW w:type="dxa" w:w="14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100 Punkte</w:t>
            </w:r>
          </w:p>
        </w:tc>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35 %</w:t>
            </w:r>
          </w:p>
        </w:tc>
      </w:tr>
      <w:tr>
        <w:tc>
          <w:tcPr>
            <w:tcW w:type="dxa" w:w="29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Präsentation (E8)</w:t>
            </w:r>
          </w:p>
        </w:tc>
        <w:tc>
          <w:tcPr>
            <w:tcW w:type="dxa" w:w="31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15 Minuten, freier Vortrag</w:t>
            </w:r>
          </w:p>
        </w:tc>
        <w:tc>
          <w:tcPr>
            <w:tcW w:type="dxa" w:w="1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100 Punkte</w:t>
            </w:r>
          </w:p>
        </w:tc>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17,5 %</w:t>
            </w:r>
          </w:p>
        </w:tc>
      </w:tr>
      <w:tr>
        <w:tc>
          <w:tcPr>
            <w:tcW w:type="dxa" w:w="29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Fachgespräch (E8)</w:t>
            </w:r>
          </w:p>
        </w:tc>
        <w:tc>
          <w:tcPr>
            <w:tcW w:type="dxa" w:w="31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15 Minuten</w:t>
            </w:r>
          </w:p>
        </w:tc>
        <w:tc>
          <w:tcPr>
            <w:tcW w:type="dxa" w:w="14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100 Punkte</w:t>
            </w:r>
          </w:p>
        </w:tc>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17,5 %</w:t>
            </w:r>
          </w:p>
        </w:tc>
      </w:tr>
    </w:tbl>
    <w:p>
      <w:pPr>
        <w:spacing w:after="180" w:before="0" w:line="276"/>
      </w:pPr>
      <w:r>
        <w:rPr>
          <w:rFonts w:ascii="Calibri" w:cs="Calibri" w:eastAsia="Calibri" w:hAnsi="Calibri"/>
          <w:color w:val="1A1A1A"/>
          <w:sz w:val="21"/>
          <w:szCs w:val="21"/>
        </w:rPr>
        <w:t xml:space="preserve"/>
      </w:r>
    </w:p>
    <w:p>
      <w:pPr>
        <w:spacing w:after="120" w:before="0" w:line="276"/>
      </w:pPr>
      <w:r>
        <w:rPr>
          <w:rFonts w:ascii="Calibri" w:cs="Calibri" w:eastAsia="Calibri" w:hAnsi="Calibri"/>
          <w:color w:val="1A1A1A"/>
          <w:sz w:val="21"/>
          <w:szCs w:val="21"/>
        </w:rPr>
        <w:t xml:space="preserve">Alle Bewertungen folgen der Hausnorm von 100 Punkten je Leistungsnachweis.</w:t>
      </w:r>
    </w:p>
    <w:p>
      <w:pPr>
        <w:pStyle w:val="Heading2"/>
        <w:spacing w:after="120" w:before="280"/>
      </w:pPr>
      <w:r>
        <w:rPr>
          <w:rFonts w:ascii="Calibri" w:cs="Calibri" w:eastAsia="Calibri" w:hAnsi="Calibri"/>
          <w:b/>
          <w:bCs/>
          <w:color w:val="0066AA"/>
          <w:sz w:val="25"/>
          <w:szCs w:val="25"/>
        </w:rPr>
        <w:t xml:space="preserve">4.1  Notenschlüssel</w:t>
      </w:r>
    </w:p>
    <w:tbl>
      <w:tblPr>
        <w:tblW w:type="dxa" w:w="3600"/>
        <w:tblBorders>
          <w:top w:val="single" w:color="auto" w:sz="4"/>
          <w:left w:val="single" w:color="auto" w:sz="4"/>
          <w:bottom w:val="single" w:color="auto" w:sz="4"/>
          <w:right w:val="single" w:color="auto" w:sz="4"/>
          <w:insideH w:val="single" w:color="auto" w:sz="4"/>
          <w:insideV w:val="single" w:color="auto" w:sz="4"/>
        </w:tblBorders>
      </w:tblPr>
      <w:tblGrid>
        <w:gridCol w:w="2200"/>
        <w:gridCol w:w="1400"/>
      </w:tblGrid>
      <w:tr>
        <w:trPr>
          <w:tblHeader/>
        </w:trPr>
        <w:tc>
          <w:tcPr>
            <w:tcW w:type="dxa" w:w="22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center"/>
            </w:pPr>
            <w:r>
              <w:rPr>
                <w:rFonts w:ascii="Calibri" w:cs="Calibri" w:eastAsia="Calibri" w:hAnsi="Calibri"/>
                <w:b/>
                <w:bCs/>
                <w:color w:val="FFFFFF"/>
                <w:sz w:val="20"/>
                <w:szCs w:val="20"/>
              </w:rPr>
              <w:t xml:space="preserve">Punkte</w:t>
            </w:r>
          </w:p>
        </w:tc>
        <w:tc>
          <w:tcPr>
            <w:tcW w:type="dxa" w:w="14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center"/>
            </w:pPr>
            <w:r>
              <w:rPr>
                <w:rFonts w:ascii="Calibri" w:cs="Calibri" w:eastAsia="Calibri" w:hAnsi="Calibri"/>
                <w:b/>
                <w:bCs/>
                <w:color w:val="FFFFFF"/>
                <w:sz w:val="20"/>
                <w:szCs w:val="20"/>
              </w:rPr>
              <w:t xml:space="preserve">Note</w:t>
            </w:r>
          </w:p>
        </w:tc>
      </w:tr>
      <w:tr>
        <w:tc>
          <w:tcPr>
            <w:tcW w:type="dxa" w:w="22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100–92</w:t>
            </w:r>
          </w:p>
        </w:tc>
        <w:tc>
          <w:tcPr>
            <w:tcW w:type="dxa" w:w="1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1</w:t>
            </w:r>
          </w:p>
        </w:tc>
      </w:tr>
      <w:tr>
        <w:tc>
          <w:tcPr>
            <w:tcW w:type="dxa" w:w="22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91–81</w:t>
            </w:r>
          </w:p>
        </w:tc>
        <w:tc>
          <w:tcPr>
            <w:tcW w:type="dxa" w:w="14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2</w:t>
            </w:r>
          </w:p>
        </w:tc>
      </w:tr>
      <w:tr>
        <w:tc>
          <w:tcPr>
            <w:tcW w:type="dxa" w:w="22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80–67</w:t>
            </w:r>
          </w:p>
        </w:tc>
        <w:tc>
          <w:tcPr>
            <w:tcW w:type="dxa" w:w="1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3</w:t>
            </w:r>
          </w:p>
        </w:tc>
      </w:tr>
      <w:tr>
        <w:tc>
          <w:tcPr>
            <w:tcW w:type="dxa" w:w="22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66–50</w:t>
            </w:r>
          </w:p>
        </w:tc>
        <w:tc>
          <w:tcPr>
            <w:tcW w:type="dxa" w:w="14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4</w:t>
            </w:r>
          </w:p>
        </w:tc>
      </w:tr>
      <w:tr>
        <w:tc>
          <w:tcPr>
            <w:tcW w:type="dxa" w:w="22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49–30</w:t>
            </w:r>
          </w:p>
        </w:tc>
        <w:tc>
          <w:tcPr>
            <w:tcW w:type="dxa" w:w="1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5</w:t>
            </w:r>
          </w:p>
        </w:tc>
      </w:tr>
      <w:tr>
        <w:tc>
          <w:tcPr>
            <w:tcW w:type="dxa" w:w="22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29–0</w:t>
            </w:r>
          </w:p>
        </w:tc>
        <w:tc>
          <w:tcPr>
            <w:tcW w:type="dxa" w:w="14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jc w:val="center"/>
            </w:pPr>
            <w:r>
              <w:rPr>
                <w:rFonts w:ascii="Calibri" w:cs="Calibri" w:eastAsia="Calibri" w:hAnsi="Calibri"/>
                <w:color w:val="1A1A1A"/>
                <w:sz w:val="20"/>
                <w:szCs w:val="20"/>
              </w:rPr>
              <w:t xml:space="preserve">6</w:t>
            </w:r>
          </w:p>
        </w:tc>
      </w:tr>
    </w:tbl>
    <w:p>
      <w:pPr>
        <w:spacing w:after="180" w:before="0" w:line="276"/>
      </w:pPr>
      <w:r>
        <w:rPr>
          <w:rFonts w:ascii="Calibri" w:cs="Calibri" w:eastAsia="Calibri" w:hAnsi="Calibri"/>
          <w:color w:val="1A1A1A"/>
          <w:sz w:val="21"/>
          <w:szCs w:val="21"/>
        </w:rPr>
        <w:t xml:space="preserve"/>
      </w:r>
    </w:p>
    <w:p>
      <w:pPr>
        <w:pStyle w:val="Heading2"/>
        <w:spacing w:after="120" w:before="280"/>
      </w:pPr>
      <w:r>
        <w:rPr>
          <w:rFonts w:ascii="Calibri" w:cs="Calibri" w:eastAsia="Calibri" w:hAnsi="Calibri"/>
          <w:b/>
          <w:bCs/>
          <w:color w:val="0066AA"/>
          <w:sz w:val="25"/>
          <w:szCs w:val="25"/>
        </w:rPr>
        <w:t xml:space="preserve">4.2  Bewertung des Capstone</w:t>
      </w:r>
    </w:p>
    <w:p>
      <w:pPr>
        <w:pStyle w:val="ListParagraph"/>
        <w:numPr>
          <w:ilvl w:val="0"/>
          <w:numId w:val="2"/>
        </w:numPr>
        <w:spacing w:after="60" w:line="264"/>
      </w:pPr>
      <w:r>
        <w:rPr>
          <w:rFonts w:ascii="Calibri" w:cs="Calibri" w:eastAsia="Calibri" w:hAnsi="Calibri"/>
          <w:color w:val="1A1A1A"/>
          <w:sz w:val="21"/>
          <w:szCs w:val="21"/>
        </w:rPr>
        <w:t xml:space="preserve">Projektdokumentation: fachliche Richtigkeit, Nachvollziehbarkeit der Entscheidungen, Struktur, Anlagen, Soll-Ist-Vergleich.</w:t>
      </w:r>
    </w:p>
    <w:p>
      <w:pPr>
        <w:pStyle w:val="ListParagraph"/>
        <w:numPr>
          <w:ilvl w:val="0"/>
          <w:numId w:val="2"/>
        </w:numPr>
        <w:spacing w:after="60" w:line="264"/>
      </w:pPr>
      <w:r>
        <w:rPr>
          <w:rFonts w:ascii="Calibri" w:cs="Calibri" w:eastAsia="Calibri" w:hAnsi="Calibri"/>
          <w:color w:val="1A1A1A"/>
          <w:sz w:val="21"/>
          <w:szCs w:val="21"/>
        </w:rPr>
        <w:t xml:space="preserve">Präsentation: Aufbau nach Hausstandard (Titel, Inhaltsverzeichnis, Einführung, Hauptteil, Vor- und Nachteile, Fazit, Verabschiedung), Stichpunkte und Grafiken statt Fließtext, Zeitrahmen 15 Minuten.</w:t>
      </w:r>
    </w:p>
    <w:p>
      <w:pPr>
        <w:pStyle w:val="ListParagraph"/>
        <w:numPr>
          <w:ilvl w:val="0"/>
          <w:numId w:val="2"/>
        </w:numPr>
        <w:spacing w:after="60" w:line="264"/>
      </w:pPr>
      <w:r>
        <w:rPr>
          <w:rFonts w:ascii="Calibri" w:cs="Calibri" w:eastAsia="Calibri" w:hAnsi="Calibri"/>
          <w:color w:val="1A1A1A"/>
          <w:sz w:val="21"/>
          <w:szCs w:val="21"/>
        </w:rPr>
        <w:t xml:space="preserve">Fachgespräch: Begründung der eigenen Entscheidungen, Umgang mit Alternativen, fachliche Tiefe.</w:t>
      </w:r>
    </w:p>
    <w:p>
      <w:pPr>
        <w:spacing w:after="160" w:before="0" w:line="276"/>
      </w:pPr>
      <w:r>
        <w:rPr>
          <w:rFonts w:ascii="Calibri" w:cs="Calibri" w:eastAsia="Calibri" w:hAnsi="Calibri"/>
          <w:color w:val="1A1A1A"/>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0A500" w:sz="6"/>
              <w:left w:val="single" w:color="F0A500" w:sz="18"/>
              <w:bottom w:val="single" w:color="F0A500" w:sz="6"/>
              <w:right w:val="single" w:color="F0A500" w:sz="6"/>
            </w:tcBorders>
            <w:shd w:fill="FFF4DC" w:color="auto" w:val="clear"/>
            <w:tcMar>
              <w:top w:type="dxa" w:w="120"/>
              <w:left w:type="dxa" w:w="160"/>
              <w:bottom w:type="dxa" w:w="120"/>
              <w:right w:type="dxa" w:w="160"/>
            </w:tcMar>
          </w:tcPr>
          <w:p>
            <w:pPr>
              <w:spacing w:after="60"/>
            </w:pPr>
            <w:r>
              <w:rPr>
                <w:rFonts w:ascii="Calibri" w:cs="Calibri" w:eastAsia="Calibri" w:hAnsi="Calibri"/>
                <w:b/>
                <w:bCs/>
                <w:color w:val="8A5A00"/>
                <w:sz w:val="21"/>
                <w:szCs w:val="21"/>
              </w:rPr>
              <w:t xml:space="preserve">Hinweis</w:t>
            </w:r>
          </w:p>
          <w:p>
            <w:pPr>
              <w:spacing w:after="40" w:line="264"/>
            </w:pPr>
            <w:r>
              <w:rPr>
                <w:rFonts w:ascii="Calibri" w:cs="Calibri" w:eastAsia="Calibri" w:hAnsi="Calibri"/>
                <w:color w:val="1A1A1A"/>
                <w:sz w:val="20"/>
                <w:szCs w:val="20"/>
              </w:rPr>
              <w:t xml:space="preserve">Zeitvorgaben und Bewertungsdimensionen sind bewusst identisch zur IHK-Prüfung gewählt.</w:t>
            </w:r>
          </w:p>
          <w:p>
            <w:pPr>
              <w:spacing w:after="40" w:line="264"/>
            </w:pPr>
            <w:r>
              <w:rPr>
                <w:rFonts w:ascii="Calibri" w:cs="Calibri" w:eastAsia="Calibri" w:hAnsi="Calibri"/>
                <w:color w:val="1A1A1A"/>
                <w:sz w:val="20"/>
                <w:szCs w:val="20"/>
              </w:rPr>
              <w:t xml:space="preserve">Die Teilnehmenden sollen die Prüfungssituation einmal vollständig durchlaufen haben, bevor sie zählt.</w:t>
            </w:r>
          </w:p>
        </w:tc>
      </w:tr>
    </w:tbl>
    <w:p>
      <w:r>
        <w:br w:type="page"/>
      </w:r>
    </w:p>
    <w:p>
      <w:pPr>
        <w:pStyle w:val="Heading1"/>
        <w:pBdr>
          <w:bottom w:val="single" w:color="F0A500" w:sz="12" w:space="4"/>
        </w:pBdr>
        <w:spacing w:after="180" w:before="360"/>
      </w:pPr>
      <w:r>
        <w:rPr>
          <w:rFonts w:ascii="Calibri" w:cs="Calibri" w:eastAsia="Calibri" w:hAnsi="Calibri"/>
          <w:b/>
          <w:bCs/>
          <w:color w:val="003366"/>
          <w:sz w:val="30"/>
          <w:szCs w:val="30"/>
        </w:rPr>
        <w:t xml:space="preserve">5  Offene Punkte</w:t>
      </w:r>
    </w:p>
    <w:p>
      <w:pPr>
        <w:spacing w:after="120" w:before="0" w:line="276"/>
      </w:pPr>
      <w:r>
        <w:rPr>
          <w:rFonts w:ascii="Calibri" w:cs="Calibri" w:eastAsia="Calibri" w:hAnsi="Calibri"/>
          <w:color w:val="1A1A1A"/>
          <w:sz w:val="21"/>
          <w:szCs w:val="21"/>
        </w:rPr>
        <w:t xml:space="preserve">Die folgenden Punkte sind vor Modulbeginn zu klären. Sie beeinflussen den Zuschnitt einzelner Etappen.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0392B" w:sz="6"/>
              <w:left w:val="single" w:color="C0392B" w:sz="18"/>
              <w:bottom w:val="single" w:color="C0392B" w:sz="6"/>
              <w:right w:val="single" w:color="C0392B" w:sz="6"/>
            </w:tcBorders>
            <w:shd w:fill="FDECEC" w:color="auto" w:val="clear"/>
            <w:tcMar>
              <w:top w:type="dxa" w:w="120"/>
              <w:left w:type="dxa" w:w="160"/>
              <w:bottom w:type="dxa" w:w="120"/>
              <w:right w:type="dxa" w:w="160"/>
            </w:tcMar>
          </w:tcPr>
          <w:p>
            <w:pPr>
              <w:spacing w:after="60"/>
            </w:pPr>
            <w:r>
              <w:rPr>
                <w:rFonts w:ascii="Calibri" w:cs="Calibri" w:eastAsia="Calibri" w:hAnsi="Calibri"/>
                <w:b/>
                <w:bCs/>
                <w:color w:val="C0392B"/>
                <w:sz w:val="21"/>
                <w:szCs w:val="21"/>
              </w:rPr>
              <w:t xml:space="preserve">Zu klären vor Modulstart</w:t>
            </w:r>
          </w:p>
          <w:p>
            <w:pPr>
              <w:spacing w:after="40" w:line="264"/>
            </w:pPr>
            <w:r>
              <w:rPr>
                <w:rFonts w:ascii="Calibri" w:cs="Calibri" w:eastAsia="Calibri" w:hAnsi="Calibri"/>
                <w:color w:val="1A1A1A"/>
                <w:sz w:val="20"/>
                <w:szCs w:val="20"/>
              </w:rPr>
              <w:t xml:space="preserve">1. Start- und Enddatum von Modul M – erst danach lassen sich die Wochen in Kalenderwochen und Termine überführen.</w:t>
            </w:r>
          </w:p>
          <w:p>
            <w:pPr>
              <w:spacing w:after="40" w:line="264"/>
            </w:pPr>
            <w:r>
              <w:rPr>
                <w:rFonts w:ascii="Calibri" w:cs="Calibri" w:eastAsia="Calibri" w:hAnsi="Calibri"/>
                <w:color w:val="1A1A1A"/>
                <w:sz w:val="20"/>
                <w:szCs w:val="20"/>
              </w:rPr>
              <w:t xml:space="preserve">2. Gruppengrößen: für FISI sind sechs Teilnehmende in drei Paaren bekannt, die FIAE-Gruppengröße fehlt. Davon hängt die Teambildung in E8 ab.</w:t>
            </w:r>
          </w:p>
          <w:p>
            <w:pPr>
              <w:spacing w:after="40" w:line="264"/>
            </w:pPr>
            <w:r>
              <w:rPr>
                <w:rFonts w:ascii="Calibri" w:cs="Calibri" w:eastAsia="Calibri" w:hAnsi="Calibri"/>
                <w:color w:val="1A1A1A"/>
                <w:sz w:val="20"/>
                <w:szCs w:val="20"/>
              </w:rPr>
              <w:t xml:space="preserve">3. Betriebliches Projekt: führen die Umschüler ihre AP2-Projektarbeit im Praktikumsbetrieb durch? Falls ja, muss E8 als Vorbereitung und Begleitung umgebaut werden statt als eigenständige Projektsimulation. Das ist die weitreichendste offene Frage.</w:t>
            </w:r>
          </w:p>
          <w:p>
            <w:pPr>
              <w:spacing w:after="40" w:line="264"/>
            </w:pPr>
            <w:r>
              <w:rPr>
                <w:rFonts w:ascii="Calibri" w:cs="Calibri" w:eastAsia="Calibri" w:hAnsi="Calibri"/>
                <w:color w:val="1A1A1A"/>
                <w:sz w:val="20"/>
                <w:szCs w:val="20"/>
              </w:rPr>
              <w:t xml:space="preserve">4. NIS2: den nationalen Umsetzungsstand unmittelbar vor E6 prüfen, nicht auf den Stand dieses Plans verlassen.</w:t>
            </w:r>
          </w:p>
          <w:p>
            <w:pPr>
              <w:spacing w:after="40" w:line="264"/>
            </w:pPr>
            <w:r>
              <w:rPr>
                <w:rFonts w:ascii="Calibri" w:cs="Calibri" w:eastAsia="Calibri" w:hAnsi="Calibri"/>
                <w:color w:val="1A1A1A"/>
                <w:sz w:val="20"/>
                <w:szCs w:val="20"/>
              </w:rPr>
              <w:t xml:space="preserve">5. Verfügbarkeit der Laborumgebung (M4, Portainer) für die FISI-Spur in E4 und für den Capstone.</w:t>
            </w:r>
          </w:p>
        </w:tc>
      </w:tr>
    </w:tbl>
    <w:p>
      <w:pPr>
        <w:spacing w:after="200" w:before="0" w:line="276"/>
      </w:pPr>
      <w:r>
        <w:rPr>
          <w:rFonts w:ascii="Calibri" w:cs="Calibri" w:eastAsia="Calibri" w:hAnsi="Calibri"/>
          <w:color w:val="1A1A1A"/>
          <w:sz w:val="21"/>
          <w:szCs w:val="21"/>
        </w:rPr>
        <w:t xml:space="preserve"/>
      </w:r>
    </w:p>
    <w:p>
      <w:pPr>
        <w:pStyle w:val="Heading2"/>
        <w:spacing w:after="120" w:before="280"/>
      </w:pPr>
      <w:r>
        <w:rPr>
          <w:rFonts w:ascii="Calibri" w:cs="Calibri" w:eastAsia="Calibri" w:hAnsi="Calibri"/>
          <w:b/>
          <w:bCs/>
          <w:color w:val="0066AA"/>
          <w:sz w:val="25"/>
          <w:szCs w:val="25"/>
        </w:rPr>
        <w:t xml:space="preserve">5.1  Nächste Schritte</w:t>
      </w:r>
    </w:p>
    <w:p>
      <w:pPr>
        <w:pStyle w:val="ListParagraph"/>
        <w:numPr>
          <w:ilvl w:val="0"/>
          <w:numId w:val="2"/>
        </w:numPr>
        <w:spacing w:after="60" w:line="264"/>
      </w:pPr>
      <w:r>
        <w:rPr>
          <w:rFonts w:ascii="Calibri" w:cs="Calibri" w:eastAsia="Calibri" w:hAnsi="Calibri"/>
          <w:color w:val="1A1A1A"/>
          <w:sz w:val="21"/>
          <w:szCs w:val="21"/>
        </w:rPr>
        <w:t xml:space="preserve">Freigabe dieser Struktur und der UE-Verteilung.</w:t>
      </w:r>
    </w:p>
    <w:p>
      <w:pPr>
        <w:pStyle w:val="ListParagraph"/>
        <w:numPr>
          <w:ilvl w:val="0"/>
          <w:numId w:val="2"/>
        </w:numPr>
        <w:spacing w:after="60" w:line="264"/>
      </w:pPr>
      <w:r>
        <w:rPr>
          <w:rFonts w:ascii="Calibri" w:cs="Calibri" w:eastAsia="Calibri" w:hAnsi="Calibri"/>
          <w:color w:val="1A1A1A"/>
          <w:sz w:val="21"/>
          <w:szCs w:val="21"/>
        </w:rPr>
        <w:t xml:space="preserve">Erstellung der Vollsets etappenweise in der Reihenfolge E1 → E8 (PPTX Einstieg, Handout, Aufgabenheft, Lösungsheft, Vorlagen).</w:t>
      </w:r>
    </w:p>
    <w:p>
      <w:pPr>
        <w:pStyle w:val="ListParagraph"/>
        <w:numPr>
          <w:ilvl w:val="0"/>
          <w:numId w:val="2"/>
        </w:numPr>
        <w:spacing w:after="60" w:line="264"/>
      </w:pPr>
      <w:r>
        <w:rPr>
          <w:rFonts w:ascii="Calibri" w:cs="Calibri" w:eastAsia="Calibri" w:hAnsi="Calibri"/>
          <w:color w:val="1A1A1A"/>
          <w:sz w:val="21"/>
          <w:szCs w:val="21"/>
        </w:rPr>
        <w:t xml:space="preserve">Vorlagenpaket für den Capstone (Projektantrag, Dokumentation, Zeiterfassung, Bewertungsraster) vorziehen, sobald Punkt 3 geklärt ist.</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6" w:space="4"/>
      </w:pBdr>
      <w:tabs>
        <w:tab w:val="right" w:pos="9026"/>
      </w:tabs>
    </w:pPr>
    <w:r>
      <w:rPr>
        <w:rFonts w:ascii="Calibri" w:cs="Calibri" w:eastAsia="Calibri" w:hAnsi="Calibri"/>
        <w:color w:val="666666"/>
        <w:sz w:val="18"/>
        <w:szCs w:val="18"/>
      </w:rPr>
      <w:t xml:space="preserve">[Name]</w:t>
    </w:r>
    <w:r>
      <w:rPr>
        <w:rFonts w:ascii="Calibri" w:cs="Calibri" w:eastAsia="Calibri" w:hAnsi="Calibri"/>
        <w:color w:val="666666"/>
        <w:sz w:val="18"/>
        <w:szCs w:val="18"/>
      </w:rPr>
      <w:t xml:space="preserve">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tabs>
        <w:tab w:val="right" w:pos="9026"/>
      </w:tabs>
    </w:pPr>
    <w:r>
      <w:rPr>
        <w:rFonts w:ascii="Calibri" w:cs="Calibri" w:eastAsia="Calibri" w:hAnsi="Calibri"/>
        <w:color w:val="0066AA"/>
        <w:sz w:val="18"/>
        <w:szCs w:val="18"/>
      </w:rPr>
      <w:t xml:space="preserve">Modul M – Lernfeld 12 · Kursablaufplan</w:t>
    </w:r>
    <w:r>
      <w:rPr>
        <w:rFonts w:ascii="Calibri" w:cs="Calibri" w:eastAsia="Calibri" w:hAnsi="Calibri"/>
        <w:color w:val="0066AA"/>
        <w:sz w:val="18"/>
        <w:szCs w:val="18"/>
      </w:rPr>
      <w:t xml:space="preserve">	bfw Lübeck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0066AA"/>
      </w:rPr>
    </w:lvl>
    <w:lvl w:ilvl="1" w15:tentative="1">
      <w:start w:val="1"/>
      <w:numFmt w:val="bullet"/>
      <w:lvlText w:val="–"/>
      <w:lvlJc w:val="left"/>
      <w:pPr>
        <w:ind w:left="720" w:hanging="220"/>
      </w:pPr>
      <w:rPr>
        <w:color w:val="0066A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M – Lernfeld 12 – Kursablaufplan</dc:title>
  <dc:creator>bfw Lübeck</dc:creator>
  <dc:description>Kursablaufplan und Etappenübersicht Modul M / LF12</dc:description>
  <cp:lastModifiedBy>Un-named</cp:lastModifiedBy>
  <cp:revision>1</cp:revision>
  <dcterms:created xsi:type="dcterms:W3CDTF">2026-07-22T07:20:47.554Z</dcterms:created>
  <dcterms:modified xsi:type="dcterms:W3CDTF">2026-07-22T07:20:47.571Z</dcterms:modified>
</cp:coreProperties>
</file>

<file path=docProps/custom.xml><?xml version="1.0" encoding="utf-8"?>
<Properties xmlns="http://schemas.openxmlformats.org/officeDocument/2006/custom-properties" xmlns:vt="http://schemas.openxmlformats.org/officeDocument/2006/docPropsVTypes"/>
</file>