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66AA"/>
          <w:sz w:val="20"/>
          <w:szCs w:val="20"/>
        </w:rPr>
        <w:t xml:space="preserve">bfw Lübeck · Modul M · Lernfeld 12</w:t>
      </w:r>
    </w:p>
    <w:p>
      <w:pPr>
        <w:pBdr>
          <w:bottom w:val="single" w:color="F0A500" w:sz="18" w:space="6"/>
        </w:pBdr>
        <w:spacing w:after="60"/>
      </w:pPr>
      <w:r>
        <w:rPr>
          <w:rFonts w:ascii="Calibri" w:cs="Calibri" w:eastAsia="Calibri" w:hAnsi="Calibri"/>
          <w:b/>
          <w:bCs/>
          <w:color w:val="003366"/>
          <w:sz w:val="32"/>
          <w:szCs w:val="32"/>
        </w:rPr>
        <w:t xml:space="preserve">Handout E7 — Abnahme und Übergabe</w:t>
      </w:r>
    </w:p>
    <w:p>
      <w:pPr>
        <w:spacing w:after="240" w:before="120" w:line="276"/>
      </w:pPr>
      <w:r>
        <w:rPr>
          <w:rFonts w:ascii="Calibri" w:cs="Calibri" w:eastAsia="Calibri" w:hAnsi="Calibri"/>
          <w:i/>
          <w:iCs/>
          <w:color w:val="444444"/>
          <w:sz w:val="24"/>
          <w:szCs w:val="24"/>
        </w:rPr>
        <w:t xml:space="preserve">Das Projekt geordnet abschließen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Angabe</w:t>
            </w:r>
          </w:p>
        </w:tc>
        <w:tc>
          <w:tcPr>
            <w:tcW w:type="dxa" w:w="6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Wert</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Etappe</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E7 im Lernfeld 12</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Fachrichtung</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FIAE und FISI gemeinsam</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Umfang</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60 UE</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Ergebnis</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abgenommenes, übergebenes und dokumentiertes Produkt</w:t>
            </w:r>
          </w:p>
        </w:tc>
      </w:tr>
    </w:tbl>
    <w:p>
      <w:pPr>
        <w:spacing w:after="80" w:before="220"/>
      </w:pPr>
      <w:r>
        <w:rPr>
          <w:rFonts w:ascii="Calibri" w:cs="Calibri" w:eastAsia="Calibri" w:hAnsi="Calibri"/>
          <w:b/>
          <w:bCs/>
          <w:color w:val="003366"/>
          <w:sz w:val="24"/>
          <w:szCs w:val="24"/>
        </w:rPr>
        <w:t xml:space="preserve">Inhalt</w:t>
      </w:r>
    </w:p>
    <w:sdt>
      <w:sdtPr>
        <w:alias w:val="Inhalt"/>
      </w:sdtPr>
      <w:sdtContent>
        <w:p>
          <w:r>
            <w:fldChar w:fldCharType="begin" w:dirty="true"/>
            <w:instrText xml:space="preserve">TOC \h \o "1-2"</w:instrText>
            <w:fldChar w:fldCharType="separate"/>
          </w:r>
        </w:p>
        <w:p>
          <w:r>
            <w:fldChar w:fldCharType="end"/>
          </w:r>
        </w:p>
      </w:sdtContent>
    </w:sdt>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1  Warum ein sauberer Abschluss zählt</w:t>
      </w:r>
    </w:p>
    <w:p>
      <w:pPr>
        <w:spacing w:after="120" w:before="0" w:line="276"/>
      </w:pPr>
      <w:r>
        <w:rPr>
          <w:rFonts w:ascii="Calibri" w:cs="Calibri" w:eastAsia="Calibri" w:hAnsi="Calibri"/>
          <w:color w:val="1A1A1A"/>
          <w:sz w:val="21"/>
          <w:szCs w:val="21"/>
        </w:rPr>
        <w:t xml:space="preserve">Das System ist gebaut, getestet und rechtlich geprüft. Jetzt wird es formal abgenommen und an den Kunden übergeben. Ein Projekt endet nicht, wenn die Software läuft, sondern wenn der Kunde sie abgenommen hat und eigenständig damit arbeiten kann. Ohne saubere Abnahme, Dokumentation und Einweisung folgen Streit, Ratlosigkeit und teurer Support.</w:t>
      </w:r>
    </w:p>
    <w:p>
      <w:pPr>
        <w:pStyle w:val="Heading1"/>
        <w:pBdr>
          <w:bottom w:val="single" w:color="F0A500" w:sz="12" w:space="4"/>
        </w:pBdr>
        <w:spacing w:after="180" w:before="360"/>
      </w:pPr>
      <w:r>
        <w:rPr>
          <w:rFonts w:ascii="Calibri" w:cs="Calibri" w:eastAsia="Calibri" w:hAnsi="Calibri"/>
          <w:b/>
          <w:bCs/>
          <w:color w:val="003366"/>
          <w:sz w:val="30"/>
          <w:szCs w:val="30"/>
        </w:rPr>
        <w:t xml:space="preserve">2  Die Abnahme</w:t>
      </w:r>
    </w:p>
    <w:p>
      <w:pPr>
        <w:spacing w:after="120" w:before="0" w:line="276"/>
      </w:pPr>
      <w:r>
        <w:rPr>
          <w:rFonts w:ascii="Calibri" w:cs="Calibri" w:eastAsia="Calibri" w:hAnsi="Calibri"/>
          <w:color w:val="1A1A1A"/>
          <w:sz w:val="21"/>
          <w:szCs w:val="21"/>
        </w:rPr>
        <w:t xml:space="preserve">Bei der Abnahme prüft der Kunde das Produkt gegen das Pflichtenheft und die vereinbarten Abnahmekriterien. Jedes Kriterium wird durchgegangen und als erfüllt oder nicht erfüllt bewertet. Das Ergebnis hält das Abnahmeprotokoll fest. Mit der Abnahme geht in der Regel die Verantwortung auf den Kunden über, und die Gewährleistungsfrist beginnt.</w:t>
      </w:r>
    </w:p>
    <w:p>
      <w:pPr>
        <w:pStyle w:val="Heading2"/>
        <w:spacing w:after="120" w:before="280"/>
      </w:pPr>
      <w:r>
        <w:rPr>
          <w:rFonts w:ascii="Calibri" w:cs="Calibri" w:eastAsia="Calibri" w:hAnsi="Calibri"/>
          <w:b/>
          <w:bCs/>
          <w:color w:val="0066AA"/>
          <w:sz w:val="24"/>
          <w:szCs w:val="24"/>
        </w:rPr>
        <w:t xml:space="preserve">2.1  Das Abnahmeprotokoll</w:t>
      </w:r>
    </w:p>
    <w:p>
      <w:pPr>
        <w:pStyle w:val="ListParagraph"/>
        <w:numPr>
          <w:ilvl w:val="0"/>
          <w:numId w:val="2"/>
        </w:numPr>
        <w:spacing w:after="70" w:line="270"/>
      </w:pPr>
      <w:r>
        <w:rPr>
          <w:rFonts w:ascii="Calibri" w:cs="Calibri" w:eastAsia="Calibri" w:hAnsi="Calibri"/>
          <w:color w:val="1A1A1A"/>
          <w:sz w:val="21"/>
          <w:szCs w:val="21"/>
        </w:rPr>
        <w:t xml:space="preserve">Was wurde geprüft (Bezug zu den Abnahmekriterien)?</w:t>
      </w:r>
    </w:p>
    <w:p>
      <w:pPr>
        <w:pStyle w:val="ListParagraph"/>
        <w:numPr>
          <w:ilvl w:val="0"/>
          <w:numId w:val="2"/>
        </w:numPr>
        <w:spacing w:after="70" w:line="270"/>
      </w:pPr>
      <w:r>
        <w:rPr>
          <w:rFonts w:ascii="Calibri" w:cs="Calibri" w:eastAsia="Calibri" w:hAnsi="Calibri"/>
          <w:color w:val="1A1A1A"/>
          <w:sz w:val="21"/>
          <w:szCs w:val="21"/>
        </w:rPr>
        <w:t xml:space="preserve">Ergebnis je Kriterium und festgestellte Mängel.</w:t>
      </w:r>
    </w:p>
    <w:p>
      <w:pPr>
        <w:pStyle w:val="ListParagraph"/>
        <w:numPr>
          <w:ilvl w:val="0"/>
          <w:numId w:val="2"/>
        </w:numPr>
        <w:spacing w:after="70" w:line="270"/>
      </w:pPr>
      <w:r>
        <w:rPr>
          <w:rFonts w:ascii="Calibri" w:cs="Calibri" w:eastAsia="Calibri" w:hAnsi="Calibri"/>
          <w:color w:val="1A1A1A"/>
          <w:sz w:val="21"/>
          <w:szCs w:val="21"/>
        </w:rPr>
        <w:t xml:space="preserve">Art der Abnahme: vollständig, unter Vorbehalt oder verweigert.</w:t>
      </w:r>
    </w:p>
    <w:p>
      <w:pPr>
        <w:pStyle w:val="ListParagraph"/>
        <w:numPr>
          <w:ilvl w:val="0"/>
          <w:numId w:val="2"/>
        </w:numPr>
        <w:spacing w:after="70" w:line="270"/>
      </w:pPr>
      <w:r>
        <w:rPr>
          <w:rFonts w:ascii="Calibri" w:cs="Calibri" w:eastAsia="Calibri" w:hAnsi="Calibri"/>
          <w:color w:val="1A1A1A"/>
          <w:sz w:val="21"/>
          <w:szCs w:val="21"/>
        </w:rPr>
        <w:t xml:space="preserve">Unterschriften beider Seiten mit Datum.</w:t>
      </w:r>
    </w:p>
    <w:p>
      <w:pPr>
        <w:pStyle w:val="Heading2"/>
        <w:spacing w:after="120" w:before="280"/>
      </w:pPr>
      <w:r>
        <w:rPr>
          <w:rFonts w:ascii="Calibri" w:cs="Calibri" w:eastAsia="Calibri" w:hAnsi="Calibri"/>
          <w:b/>
          <w:bCs/>
          <w:color w:val="0066AA"/>
          <w:sz w:val="24"/>
          <w:szCs w:val="24"/>
        </w:rPr>
        <w:t xml:space="preserve">2.2  Mängel klassifizieren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rPr>
          <w:tblHeader/>
        </w:trPr>
        <w:tc>
          <w:tcPr>
            <w:tcW w:type="dxa" w:w="2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Mangelklasse</w:t>
            </w:r>
          </w:p>
        </w:tc>
        <w:tc>
          <w:tcPr>
            <w:tcW w:type="dxa" w:w="6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Umgang</w:t>
            </w:r>
          </w:p>
        </w:tc>
      </w:tr>
      <w:tr>
        <w:tc>
          <w:tcPr>
            <w:tcW w:type="dxa" w:w="28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Wesentlicher Mangel</w:t>
            </w:r>
          </w:p>
        </w:tc>
        <w:tc>
          <w:tcPr>
            <w:tcW w:type="dxa" w:w="62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Kernanforderung fehlt oder Produkt nicht nutzbar — Abnahme kann verweigert werden.</w:t>
            </w:r>
          </w:p>
        </w:tc>
      </w:tr>
      <w:tr>
        <w:tc>
          <w:tcPr>
            <w:tcW w:type="dxa" w:w="28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Unwesentlicher Mangel</w:t>
            </w:r>
          </w:p>
        </w:tc>
        <w:tc>
          <w:tcPr>
            <w:tcW w:type="dxa" w:w="62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kleinere Abweichung — Abnahme unter Vorbehalt mit Mängelliste möglich.</w:t>
            </w:r>
          </w:p>
        </w:tc>
      </w:tr>
      <w:tr>
        <w:tc>
          <w:tcPr>
            <w:tcW w:type="dxa" w:w="28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Kein Mangel</w:t>
            </w:r>
          </w:p>
        </w:tc>
        <w:tc>
          <w:tcPr>
            <w:tcW w:type="dxa" w:w="62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alle Kriterien erfüllt — vollständige Abnahme.</w:t>
            </w:r>
          </w:p>
        </w:tc>
      </w:tr>
    </w:tbl>
    <w:p>
      <w:pPr>
        <w:spacing w:after="120" w:before="120" w:line="276"/>
      </w:pPr>
      <w:r>
        <w:rPr>
          <w:rFonts w:ascii="Calibri" w:cs="Calibri" w:eastAsia="Calibri" w:hAnsi="Calibri"/>
          <w:color w:val="1A1A1A"/>
          <w:sz w:val="21"/>
          <w:szCs w:val="21"/>
        </w:rPr>
        <w:t xml:space="preserve">Offene Mängel kommen mit einer Frist zur Behebung in die Mängelliste des Protokolls.</w:t>
      </w:r>
    </w:p>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3  Dokumentation</w:t>
      </w:r>
    </w:p>
    <w:p>
      <w:pPr>
        <w:spacing w:after="120" w:before="0" w:line="276"/>
      </w:pPr>
      <w:r>
        <w:rPr>
          <w:rFonts w:ascii="Calibri" w:cs="Calibri" w:eastAsia="Calibri" w:hAnsi="Calibri"/>
          <w:color w:val="1A1A1A"/>
          <w:sz w:val="21"/>
          <w:szCs w:val="21"/>
        </w:rPr>
        <w:t xml:space="preserve">Gute Dokumentation richtet sich an drei Zielgruppen — jede braucht andere Inhalte: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Art</w:t>
            </w:r>
          </w:p>
        </w:tc>
        <w:tc>
          <w:tcPr>
            <w:tcW w:type="dxa" w:w="60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Für wen und was</w:t>
            </w:r>
          </w:p>
        </w:tc>
      </w:tr>
      <w:tr>
        <w:tc>
          <w:tcPr>
            <w:tcW w:type="dxa" w:w="3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Benutzerdokumentation</w:t>
            </w:r>
          </w:p>
        </w:tc>
        <w:tc>
          <w:tcPr>
            <w:tcW w:type="dxa" w:w="6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Für die Anwender: wie das System im Alltag bedient wird, Schritt für Schritt, in einfacher Sprache.</w:t>
            </w:r>
          </w:p>
        </w:tc>
      </w:tr>
      <w:tr>
        <w:tc>
          <w:tcPr>
            <w:tcW w:type="dxa" w:w="3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Administrations- / Betriebsdoku</w:t>
            </w:r>
          </w:p>
        </w:tc>
        <w:tc>
          <w:tcPr>
            <w:tcW w:type="dxa" w:w="60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Für den Betrieb (FISI): Installation, Konfiguration, Datensicherung, Überwachung.</w:t>
            </w:r>
          </w:p>
        </w:tc>
      </w:tr>
      <w:tr>
        <w:tc>
          <w:tcPr>
            <w:tcW w:type="dxa" w:w="3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Technische Dokumentation</w:t>
            </w:r>
          </w:p>
        </w:tc>
        <w:tc>
          <w:tcPr>
            <w:tcW w:type="dxa" w:w="6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Für die Entwicklung (FIAE): Architektur, Datenmodell, Schnittstellen — damit später weitergearbeitet werden kann.</w:t>
            </w:r>
          </w:p>
        </w:tc>
      </w:tr>
    </w:tbl>
    <w:p>
      <w:pPr>
        <w:pStyle w:val="Heading2"/>
        <w:spacing w:after="120" w:before="280"/>
      </w:pPr>
      <w:r>
        <w:rPr>
          <w:rFonts w:ascii="Calibri" w:cs="Calibri" w:eastAsia="Calibri" w:hAnsi="Calibri"/>
          <w:b/>
          <w:bCs/>
          <w:color w:val="0066AA"/>
          <w:sz w:val="24"/>
          <w:szCs w:val="24"/>
        </w:rPr>
        <w:t xml:space="preserve">3.1  Was gute Dokumentation ausmacht</w:t>
      </w:r>
    </w:p>
    <w:p>
      <w:pPr>
        <w:pStyle w:val="ListParagraph"/>
        <w:numPr>
          <w:ilvl w:val="0"/>
          <w:numId w:val="2"/>
        </w:numPr>
        <w:spacing w:after="70" w:line="270"/>
      </w:pPr>
      <w:r>
        <w:rPr>
          <w:rFonts w:ascii="Calibri" w:cs="Calibri" w:eastAsia="Calibri" w:hAnsi="Calibri"/>
          <w:color w:val="1A1A1A"/>
          <w:sz w:val="21"/>
          <w:szCs w:val="21"/>
        </w:rPr>
        <w:t xml:space="preserve">Aktuell — passend zur ausgelieferten Version.</w:t>
      </w:r>
    </w:p>
    <w:p>
      <w:pPr>
        <w:pStyle w:val="ListParagraph"/>
        <w:numPr>
          <w:ilvl w:val="0"/>
          <w:numId w:val="2"/>
        </w:numPr>
        <w:spacing w:after="70" w:line="270"/>
      </w:pPr>
      <w:r>
        <w:rPr>
          <w:rFonts w:ascii="Calibri" w:cs="Calibri" w:eastAsia="Calibri" w:hAnsi="Calibri"/>
          <w:color w:val="1A1A1A"/>
          <w:sz w:val="21"/>
          <w:szCs w:val="21"/>
        </w:rPr>
        <w:t xml:space="preserve">Verständlich für die jeweilige Zielgruppe.</w:t>
      </w:r>
    </w:p>
    <w:p>
      <w:pPr>
        <w:pStyle w:val="ListParagraph"/>
        <w:numPr>
          <w:ilvl w:val="0"/>
          <w:numId w:val="2"/>
        </w:numPr>
        <w:spacing w:after="70" w:line="270"/>
      </w:pPr>
      <w:r>
        <w:rPr>
          <w:rFonts w:ascii="Calibri" w:cs="Calibri" w:eastAsia="Calibri" w:hAnsi="Calibri"/>
          <w:color w:val="1A1A1A"/>
          <w:sz w:val="21"/>
          <w:szCs w:val="21"/>
        </w:rPr>
        <w:t xml:space="preserve">Auffindbar und strukturiert (Inhaltsverzeichnis, Suche).</w:t>
      </w:r>
    </w:p>
    <w:p>
      <w:pPr>
        <w:pStyle w:val="ListParagraph"/>
        <w:numPr>
          <w:ilvl w:val="0"/>
          <w:numId w:val="2"/>
        </w:numPr>
        <w:spacing w:after="70" w:line="270"/>
      </w:pPr>
      <w:r>
        <w:rPr>
          <w:rFonts w:ascii="Calibri" w:cs="Calibri" w:eastAsia="Calibri" w:hAnsi="Calibri"/>
          <w:color w:val="1A1A1A"/>
          <w:sz w:val="21"/>
          <w:szCs w:val="21"/>
        </w:rPr>
        <w:t xml:space="preserve">Wichtige Abläufe und die Fehlerbehebung sind enthalten.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20"/>
              <w:left w:type="dxa" w:w="160"/>
              <w:bottom w:type="dxa" w:w="120"/>
              <w:right w:type="dxa" w:w="160"/>
            </w:tcMar>
          </w:tcPr>
          <w:p>
            <w:pPr>
              <w:spacing w:after="60"/>
            </w:pPr>
            <w:r>
              <w:rPr>
                <w:rFonts w:ascii="Calibri" w:cs="Calibri" w:eastAsia="Calibri" w:hAnsi="Calibri"/>
                <w:b/>
                <w:bCs/>
                <w:color w:val="1B5E20"/>
                <w:sz w:val="21"/>
                <w:szCs w:val="21"/>
              </w:rPr>
              <w:t xml:space="preserve">Merksatz</w:t>
            </w:r>
          </w:p>
          <w:p>
            <w:pPr>
              <w:spacing w:after="40" w:line="264"/>
            </w:pPr>
            <w:r>
              <w:rPr>
                <w:rFonts w:ascii="Calibri" w:cs="Calibri" w:eastAsia="Calibri" w:hAnsi="Calibri"/>
                <w:color w:val="1A1A1A"/>
                <w:sz w:val="20"/>
                <w:szCs w:val="20"/>
              </w:rPr>
              <w:t xml:space="preserve">Dokumentation entsteht mit dem Produkt, nicht danach. „Steht alles im Code" ist für Anwender und Betrieb wertlos.</w:t>
            </w:r>
          </w:p>
        </w:tc>
      </w:tr>
    </w:tbl>
    <w:p>
      <w:pPr>
        <w:pStyle w:val="Heading1"/>
        <w:pBdr>
          <w:bottom w:val="single" w:color="F0A500" w:sz="12" w:space="4"/>
        </w:pBdr>
        <w:spacing w:after="180" w:before="360"/>
      </w:pPr>
      <w:r>
        <w:rPr>
          <w:rFonts w:ascii="Calibri" w:cs="Calibri" w:eastAsia="Calibri" w:hAnsi="Calibri"/>
          <w:b/>
          <w:bCs/>
          <w:color w:val="003366"/>
          <w:sz w:val="30"/>
          <w:szCs w:val="30"/>
        </w:rPr>
        <w:t xml:space="preserve">4  Schulung und Einweisung</w:t>
      </w:r>
    </w:p>
    <w:p>
      <w:pPr>
        <w:spacing w:after="120" w:before="0" w:line="276"/>
      </w:pPr>
      <w:r>
        <w:rPr>
          <w:rFonts w:ascii="Calibri" w:cs="Calibri" w:eastAsia="Calibri" w:hAnsi="Calibri"/>
          <w:color w:val="1A1A1A"/>
          <w:sz w:val="21"/>
          <w:szCs w:val="21"/>
        </w:rPr>
        <w:t xml:space="preserve">Auch das beste System nützt nichts, wenn die Anwender es nicht bedienen können. Die Schulung ist zielgruppengerecht — der Disponent braucht anderes Wissen als ein Fahrer. Geübt wird an echten Aufgaben, nicht nur durch Zusehen; die Teilnehmer bedienen das System selbst. Schulungsunterlagen zum Nachschlagen werden mitgegeben, und für die erste Zeit wird ein Ansprechpartner benannt (Hypercare-Phase). Eine gute Einweisung senkt Supportanfragen und Fehlbedienung von Anfang an.</w:t>
      </w:r>
    </w:p>
    <w:p>
      <w:pPr>
        <w:pStyle w:val="Heading1"/>
        <w:pBdr>
          <w:bottom w:val="single" w:color="F0A500" w:sz="12" w:space="4"/>
        </w:pBdr>
        <w:spacing w:after="180" w:before="360"/>
      </w:pPr>
      <w:r>
        <w:rPr>
          <w:rFonts w:ascii="Calibri" w:cs="Calibri" w:eastAsia="Calibri" w:hAnsi="Calibri"/>
          <w:b/>
          <w:bCs/>
          <w:color w:val="003366"/>
          <w:sz w:val="30"/>
          <w:szCs w:val="30"/>
        </w:rPr>
        <w:t xml:space="preserve">5  Übergabe, Gewährleistung und Wartung</w:t>
      </w:r>
    </w:p>
    <w:p>
      <w:pPr>
        <w:spacing w:after="120" w:before="0" w:line="276"/>
      </w:pPr>
      <w:r>
        <w:rPr>
          <w:rFonts w:ascii="Calibri" w:cs="Calibri" w:eastAsia="Calibri" w:hAnsi="Calibri"/>
          <w:color w:val="1A1A1A"/>
          <w:sz w:val="21"/>
          <w:szCs w:val="21"/>
        </w:rPr>
        <w:t xml:space="preserve">Bei der Übergabe werden alle Artefakte an den Betrieb bzw. den Kunden übergeben: Zugänge, Dokumentation, Quellen oder Konfigurationen. Ein Übergabeprotokoll hält fest, was übergeben wurde, welche Punkte offen sind und wer Ansprechpartner ist.</w:t>
      </w:r>
    </w:p>
    <w:p>
      <w:pPr>
        <w:pStyle w:val="ListParagraph"/>
        <w:numPr>
          <w:ilvl w:val="0"/>
          <w:numId w:val="2"/>
        </w:numPr>
        <w:spacing w:after="70" w:line="270"/>
      </w:pPr>
      <w:r>
        <w:rPr>
          <w:rFonts w:ascii="Calibri" w:cs="Calibri" w:eastAsia="Calibri" w:hAnsi="Calibri"/>
          <w:color w:val="1A1A1A"/>
          <w:sz w:val="21"/>
          <w:szCs w:val="21"/>
        </w:rPr>
        <w:t xml:space="preserve">Gewährleistung: Der Auftragnehmer haftet für die zugesagten Eigenschaften des Produkts.</w:t>
      </w:r>
    </w:p>
    <w:p>
      <w:pPr>
        <w:pStyle w:val="ListParagraph"/>
        <w:numPr>
          <w:ilvl w:val="0"/>
          <w:numId w:val="2"/>
        </w:numPr>
        <w:spacing w:after="70" w:line="270"/>
      </w:pPr>
      <w:r>
        <w:rPr>
          <w:rFonts w:ascii="Calibri" w:cs="Calibri" w:eastAsia="Calibri" w:hAnsi="Calibri"/>
          <w:color w:val="1A1A1A"/>
          <w:sz w:val="21"/>
          <w:szCs w:val="21"/>
        </w:rPr>
        <w:t xml:space="preserve">Wartung und Support: die laufende Betreuung, oft über einen Vertrag mit SLA geregelt.</w:t>
      </w:r>
    </w:p>
    <w:p>
      <w:pPr>
        <w:pStyle w:val="ListParagraph"/>
        <w:numPr>
          <w:ilvl w:val="0"/>
          <w:numId w:val="2"/>
        </w:numPr>
        <w:spacing w:after="70" w:line="270"/>
      </w:pPr>
      <w:r>
        <w:rPr>
          <w:rFonts w:ascii="Calibri" w:cs="Calibri" w:eastAsia="Calibri" w:hAnsi="Calibri"/>
          <w:color w:val="1A1A1A"/>
          <w:sz w:val="21"/>
          <w:szCs w:val="21"/>
        </w:rPr>
        <w:t xml:space="preserve">Projektabschluss: ein Abschlussbericht und Lessons Learned — aus jedem Projekt für das nächste lernen.</w:t>
      </w:r>
    </w:p>
    <w:p>
      <w:pPr>
        <w:pStyle w:val="Heading1"/>
        <w:pBdr>
          <w:bottom w:val="single" w:color="F0A500" w:sz="12" w:space="4"/>
        </w:pBdr>
        <w:spacing w:after="180" w:before="360"/>
      </w:pPr>
      <w:r>
        <w:rPr>
          <w:rFonts w:ascii="Calibri" w:cs="Calibri" w:eastAsia="Calibri" w:hAnsi="Calibri"/>
          <w:b/>
          <w:bCs/>
          <w:color w:val="003366"/>
          <w:sz w:val="30"/>
          <w:szCs w:val="30"/>
        </w:rPr>
        <w:t xml:space="preserve">6  Zusammenfassung</w:t>
      </w:r>
    </w:p>
    <w:p>
      <w:pPr>
        <w:pStyle w:val="ListParagraph"/>
        <w:numPr>
          <w:ilvl w:val="0"/>
          <w:numId w:val="2"/>
        </w:numPr>
        <w:spacing w:after="70" w:line="270"/>
      </w:pPr>
      <w:r>
        <w:rPr>
          <w:rFonts w:ascii="Calibri" w:cs="Calibri" w:eastAsia="Calibri" w:hAnsi="Calibri"/>
          <w:color w:val="1A1A1A"/>
          <w:sz w:val="21"/>
          <w:szCs w:val="21"/>
        </w:rPr>
        <w:t xml:space="preserve">Ein Projekt endet mit der Abnahme und geordneten Übergabe, nicht schon, wenn die Software läuft.</w:t>
      </w:r>
    </w:p>
    <w:p>
      <w:pPr>
        <w:pStyle w:val="ListParagraph"/>
        <w:numPr>
          <w:ilvl w:val="0"/>
          <w:numId w:val="2"/>
        </w:numPr>
        <w:spacing w:after="70" w:line="270"/>
      </w:pPr>
      <w:r>
        <w:rPr>
          <w:rFonts w:ascii="Calibri" w:cs="Calibri" w:eastAsia="Calibri" w:hAnsi="Calibri"/>
          <w:color w:val="1A1A1A"/>
          <w:sz w:val="21"/>
          <w:szCs w:val="21"/>
        </w:rPr>
        <w:t xml:space="preserve">Abgenommen wird gegen Pflichtenheft und Abnahmekriterien, dokumentiert im Abnahmeprotokoll.</w:t>
      </w:r>
    </w:p>
    <w:p>
      <w:pPr>
        <w:pStyle w:val="ListParagraph"/>
        <w:numPr>
          <w:ilvl w:val="0"/>
          <w:numId w:val="2"/>
        </w:numPr>
        <w:spacing w:after="70" w:line="270"/>
      </w:pPr>
      <w:r>
        <w:rPr>
          <w:rFonts w:ascii="Calibri" w:cs="Calibri" w:eastAsia="Calibri" w:hAnsi="Calibri"/>
          <w:color w:val="1A1A1A"/>
          <w:sz w:val="21"/>
          <w:szCs w:val="21"/>
        </w:rPr>
        <w:t xml:space="preserve">Mängel werden klassifiziert: wesentlich, unwesentlich oder keiner.</w:t>
      </w:r>
    </w:p>
    <w:p>
      <w:pPr>
        <w:pStyle w:val="ListParagraph"/>
        <w:numPr>
          <w:ilvl w:val="0"/>
          <w:numId w:val="2"/>
        </w:numPr>
        <w:spacing w:after="70" w:line="270"/>
      </w:pPr>
      <w:r>
        <w:rPr>
          <w:rFonts w:ascii="Calibri" w:cs="Calibri" w:eastAsia="Calibri" w:hAnsi="Calibri"/>
          <w:color w:val="1A1A1A"/>
          <w:sz w:val="21"/>
          <w:szCs w:val="21"/>
        </w:rPr>
        <w:t xml:space="preserve">Dokumentation für drei Zielgruppen: Anwender, Betrieb, Entwicklung.</w:t>
      </w:r>
    </w:p>
    <w:p>
      <w:pPr>
        <w:pStyle w:val="ListParagraph"/>
        <w:numPr>
          <w:ilvl w:val="0"/>
          <w:numId w:val="2"/>
        </w:numPr>
        <w:spacing w:after="70" w:line="270"/>
      </w:pPr>
      <w:r>
        <w:rPr>
          <w:rFonts w:ascii="Calibri" w:cs="Calibri" w:eastAsia="Calibri" w:hAnsi="Calibri"/>
          <w:color w:val="1A1A1A"/>
          <w:sz w:val="21"/>
          <w:szCs w:val="21"/>
        </w:rPr>
        <w:t xml:space="preserve">Schulung befähigt die Anwender; ein Ansprechpartner überbrückt den Start.</w:t>
      </w:r>
    </w:p>
    <w:p>
      <w:pPr>
        <w:pStyle w:val="ListParagraph"/>
        <w:numPr>
          <w:ilvl w:val="0"/>
          <w:numId w:val="2"/>
        </w:numPr>
        <w:spacing w:after="70" w:line="270"/>
      </w:pPr>
      <w:r>
        <w:rPr>
          <w:rFonts w:ascii="Calibri" w:cs="Calibri" w:eastAsia="Calibri" w:hAnsi="Calibri"/>
          <w:color w:val="1A1A1A"/>
          <w:sz w:val="21"/>
          <w:szCs w:val="21"/>
        </w:rPr>
        <w:t xml:space="preserve">Mit der Abnahme gehen Verantwortung und Gewährleistung über.</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6" w:space="4"/>
      </w:pBdr>
      <w:tabs>
        <w:tab w:val="right" w:pos="9026"/>
      </w:tabs>
    </w:pPr>
    <w:r>
      <w:rPr>
        <w:rFonts w:ascii="Calibri" w:cs="Calibri" w:eastAsia="Calibri" w:hAnsi="Calibri"/>
        <w:color w:val="666666"/>
        <w:sz w:val="18"/>
        <w:szCs w:val="18"/>
      </w:rPr>
      <w:t xml:space="preserve">[Name]</w:t>
    </w:r>
    <w:r>
      <w:rPr>
        <w:rFonts w:ascii="Calibri" w:cs="Calibri" w:eastAsia="Calibri" w:hAnsi="Calibri"/>
        <w:color w:val="666666"/>
        <w:sz w:val="18"/>
        <w:szCs w:val="18"/>
      </w:rPr>
      <w:t xml:space="preserve">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tabs>
        <w:tab w:val="right" w:pos="9026"/>
      </w:tabs>
    </w:pPr>
    <w:r>
      <w:rPr>
        <w:rFonts w:ascii="Calibri" w:cs="Calibri" w:eastAsia="Calibri" w:hAnsi="Calibri"/>
        <w:color w:val="0066AA"/>
        <w:sz w:val="18"/>
        <w:szCs w:val="18"/>
      </w:rPr>
      <w:t xml:space="preserve">Handout E7 · Abnahme und Übergabe</w:t>
    </w:r>
    <w:r>
      <w:rPr>
        <w:rFonts w:ascii="Calibri" w:cs="Calibri" w:eastAsia="Calibri" w:hAnsi="Calibri"/>
        <w:color w:val="0066AA"/>
        <w:sz w:val="18"/>
        <w:szCs w:val="18"/>
      </w:rPr>
      <w:t xml:space="preserve">	bfw Lübeck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0066A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Handout E7</dc:title>
  <dc:creator>bfw Lübeck</dc:creator>
  <cp:lastModifiedBy>Un-named</cp:lastModifiedBy>
  <cp:revision>1</cp:revision>
  <dcterms:created xsi:type="dcterms:W3CDTF">2026-07-29T06:38:24.245Z</dcterms:created>
  <dcterms:modified xsi:type="dcterms:W3CDTF">2026-07-29T06:38:24.248Z</dcterms:modified>
</cp:coreProperties>
</file>

<file path=docProps/custom.xml><?xml version="1.0" encoding="utf-8"?>
<Properties xmlns="http://schemas.openxmlformats.org/officeDocument/2006/custom-properties" xmlns:vt="http://schemas.openxmlformats.org/officeDocument/2006/docPropsVTypes"/>
</file>