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 · E6</w:t>
      </w:r>
    </w:p>
    <w:p>
      <w:pPr>
        <w:pBdr>
          <w:bottom w:val="single" w:color="F0A500" w:sz="18" w:space="6"/>
        </w:pBdr>
        <w:spacing w:after="60"/>
      </w:pPr>
      <w:r>
        <w:rPr>
          <w:rFonts w:ascii="Calibri" w:cs="Calibri" w:eastAsia="Calibri" w:hAnsi="Calibri"/>
          <w:b/>
          <w:bCs/>
          <w:color w:val="003366"/>
          <w:sz w:val="34"/>
          <w:szCs w:val="34"/>
        </w:rPr>
        <w:t xml:space="preserve">Lösungsheft E6</w:t>
      </w:r>
    </w:p>
    <w:p>
      <w:pPr>
        <w:spacing w:after="200" w:before="120" w:line="276"/>
      </w:pPr>
      <w:r>
        <w:rPr>
          <w:rFonts w:ascii="Calibri" w:cs="Calibri" w:eastAsia="Calibri" w:hAnsi="Calibri"/>
          <w:i/>
          <w:iCs/>
          <w:color w:val="444444"/>
          <w:sz w:val="23"/>
          <w:szCs w:val="23"/>
        </w:rPr>
        <w:t xml:space="preserve">Recht und Compliance — Fallstudie Nordfracht Logistik GmbH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4400"/>
        <w:gridCol w:w="20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Name</w:t>
            </w:r>
          </w:p>
        </w:tc>
        <w:tc>
          <w:tcPr>
            <w:tcW w:type="dxa" w:w="4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
            </w:r>
          </w:p>
        </w:tc>
        <w:tc>
          <w:tcPr>
            <w:tcW w:type="dxa" w:w="2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Musterlösung</w:t>
            </w:r>
          </w:p>
        </w:tc>
        <w:tc>
          <w:tcPr>
            <w:tcW w:type="dxa" w:w="4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2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 / 100</w:t>
            </w:r>
          </w:p>
        </w:tc>
      </w:tr>
    </w:tbl>
    <w:p>
      <w:pPr>
        <w:spacing w:after="180" w:before="160" w:line="276"/>
      </w:pPr>
      <w:r>
        <w:rPr>
          <w:rFonts w:ascii="Calibri" w:cs="Calibri" w:eastAsia="Calibri" w:hAnsi="Calibri"/>
          <w:i/>
          <w:iCs/>
          <w:color w:val="444444"/>
          <w:sz w:val="20"/>
          <w:szCs w:val="20"/>
        </w:rPr>
        <w:t xml:space="preserve">Bearbeitungshinweis: Beziehen Sie Ihre Antworten auf die Fallstudie. Diese Aufgaben ersetzen keine Rechtsberatung. Gesamt: 100 Punkte.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1  </w:t>
            </w:r>
            <w:r>
              <w:rPr>
                <w:rFonts w:ascii="Calibri" w:cs="Calibri" w:eastAsia="Calibri" w:hAnsi="Calibri"/>
                <w:b/>
                <w:bCs/>
                <w:color w:val="FFFFFF"/>
                <w:sz w:val="23"/>
                <w:szCs w:val="23"/>
              </w:rPr>
              <w:t xml:space="preserve">DSGVO-Prinzipien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jeder Situation das verletzte DSGVO-Prinzip zu (Zweckbindung, Datenminimierung, Speicherbegrenzung, Rechtmäßigkeit).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Situation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Nordfracht speichert Fahrerdaten ohne Rechtsgrundlage.</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Zur Tourplanung wird auch die Schuhgröße der Fahrer erfasst.</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Daten ausgeschiedener Fahrer bleiben unbegrenzt gespeichert.</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Für die Tour erhobene Daten werden für Werbung genutzt.</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Je Zuordnung 3 P.</w:t>
            </w:r>
          </w:p>
          <w:p>
            <w:pPr>
              <w:pStyle w:val="ListParagraph"/>
              <w:numPr>
                <w:ilvl w:val="0"/>
                <w:numId w:val="2"/>
              </w:numPr>
              <w:spacing w:after="40" w:line="262"/>
            </w:pPr>
            <w:r>
              <w:rPr>
                <w:rFonts w:ascii="Calibri" w:cs="Calibri" w:eastAsia="Calibri" w:hAnsi="Calibri"/>
                <w:color w:val="1A2732"/>
                <w:sz w:val="20"/>
                <w:szCs w:val="20"/>
              </w:rPr>
              <w:t xml:space="preserve">1 = Rechtmäßigkeit · 2 = Datenminimierung · 3 = Speicherbegrenzung · 4 = Zweckbindung</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2  </w:t>
            </w:r>
            <w:r>
              <w:rPr>
                <w:rFonts w:ascii="Calibri" w:cs="Calibri" w:eastAsia="Calibri" w:hAnsi="Calibri"/>
                <w:b/>
                <w:bCs/>
                <w:color w:val="FFFFFF"/>
                <w:sz w:val="23"/>
                <w:szCs w:val="23"/>
              </w:rPr>
              <w:t xml:space="preserve">Rechtsgrundlage und Datenminimierung</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a) Nennen Sie zwei mögliche Rechtsgrundlagen, auf die Nordfracht die Verarbeitung von Fahrerdaten stützen könnte. b) Geben Sie zwei Datenfelder an, die für die Tourplanung nötig sind, und eines, das nicht nötig wäre.</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a) je 3 P, b) 6 P.</w:t>
            </w:r>
          </w:p>
          <w:p>
            <w:pPr>
              <w:pStyle w:val="ListParagraph"/>
              <w:numPr>
                <w:ilvl w:val="0"/>
                <w:numId w:val="2"/>
              </w:numPr>
              <w:spacing w:after="40" w:line="262"/>
            </w:pPr>
            <w:r>
              <w:rPr>
                <w:rFonts w:ascii="Calibri" w:cs="Calibri" w:eastAsia="Calibri" w:hAnsi="Calibri"/>
                <w:color w:val="1A2732"/>
                <w:sz w:val="20"/>
                <w:szCs w:val="20"/>
              </w:rPr>
              <w:t xml:space="preserve">a) Vertrag (Arbeitsverhältnis) und ggf. berechtigtes Interesse; für Kundendaten die Vertragserfüllung.</w:t>
            </w:r>
          </w:p>
          <w:p>
            <w:pPr>
              <w:pStyle w:val="ListParagraph"/>
              <w:numPr>
                <w:ilvl w:val="0"/>
                <w:numId w:val="2"/>
              </w:numPr>
              <w:spacing w:after="40" w:line="262"/>
            </w:pPr>
            <w:r>
              <w:rPr>
                <w:rFonts w:ascii="Calibri" w:cs="Calibri" w:eastAsia="Calibri" w:hAnsi="Calibri"/>
                <w:color w:val="1A2732"/>
                <w:sz w:val="20"/>
                <w:szCs w:val="20"/>
              </w:rPr>
              <w:t xml:space="preserve">b) Nötig: Name, Führerscheinklasse/Verfügbarkeit. Nicht nötig: z. B. Familienstand oder Schuhgröße.</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3  </w:t>
            </w:r>
            <w:r>
              <w:rPr>
                <w:rFonts w:ascii="Calibri" w:cs="Calibri" w:eastAsia="Calibri" w:hAnsi="Calibri"/>
                <w:b/>
                <w:bCs/>
                <w:color w:val="FFFFFF"/>
                <w:sz w:val="23"/>
                <w:szCs w:val="23"/>
              </w:rPr>
              <w:t xml:space="preserve">Auftragsverarbeitung</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Nordfracht lässt die Anwendung von einem externen Dienstleister hosten. a) Welcher Vertrag ist erforderlich? b) Nennen Sie zwei Punkte, die dieser regelt. c) Wer bleibt gegenüber den Betroffenen verantwortlich?</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pStyle w:val="ListParagraph"/>
              <w:numPr>
                <w:ilvl w:val="0"/>
                <w:numId w:val="2"/>
              </w:numPr>
              <w:spacing w:after="40" w:line="262"/>
            </w:pPr>
            <w:r>
              <w:rPr>
                <w:rFonts w:ascii="Calibri" w:cs="Calibri" w:eastAsia="Calibri" w:hAnsi="Calibri"/>
                <w:color w:val="1A2732"/>
                <w:sz w:val="20"/>
                <w:szCs w:val="20"/>
              </w:rPr>
              <w:t xml:space="preserve">a) Ein Auftragsverarbeitungsvertrag (AVV). (4 P)</w:t>
            </w:r>
          </w:p>
          <w:p>
            <w:pPr>
              <w:pStyle w:val="ListParagraph"/>
              <w:numPr>
                <w:ilvl w:val="0"/>
                <w:numId w:val="2"/>
              </w:numPr>
              <w:spacing w:after="40" w:line="262"/>
            </w:pPr>
            <w:r>
              <w:rPr>
                <w:rFonts w:ascii="Calibri" w:cs="Calibri" w:eastAsia="Calibri" w:hAnsi="Calibri"/>
                <w:color w:val="1A2732"/>
                <w:sz w:val="20"/>
                <w:szCs w:val="20"/>
              </w:rPr>
              <w:t xml:space="preserve">b) z. B. Zweck und Umfang der Verarbeitung, Dauer, Schutzmaßnahmen, Weisungsbindung. (je 2 P, max 4)</w:t>
            </w:r>
          </w:p>
          <w:p>
            <w:pPr>
              <w:pStyle w:val="ListParagraph"/>
              <w:numPr>
                <w:ilvl w:val="0"/>
                <w:numId w:val="2"/>
              </w:numPr>
              <w:spacing w:after="40" w:line="262"/>
            </w:pPr>
            <w:r>
              <w:rPr>
                <w:rFonts w:ascii="Calibri" w:cs="Calibri" w:eastAsia="Calibri" w:hAnsi="Calibri"/>
                <w:color w:val="1A2732"/>
                <w:sz w:val="20"/>
                <w:szCs w:val="20"/>
              </w:rPr>
              <w:t xml:space="preserve">c) Verantwortlich bleibt Nordfracht als Auftraggeber. (2 P)</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4  </w:t>
            </w:r>
            <w:r>
              <w:rPr>
                <w:rFonts w:ascii="Calibri" w:cs="Calibri" w:eastAsia="Calibri" w:hAnsi="Calibri"/>
                <w:b/>
                <w:bCs/>
                <w:color w:val="FFFFFF"/>
                <w:sz w:val="23"/>
                <w:szCs w:val="23"/>
              </w:rPr>
              <w:t xml:space="preserve">Datenpanne</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Ein Laptop mit Kunden- und Fahrerdaten wird gestohlen. a) Wie heißt dieser Vorfall im DSGVO-Sinn? b) An wen und innerhalb welcher Frist ist er in der Regel zu melden? c) Wann sind zusätzlich die Betroffenen zu informieren?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pStyle w:val="ListParagraph"/>
              <w:numPr>
                <w:ilvl w:val="0"/>
                <w:numId w:val="2"/>
              </w:numPr>
              <w:spacing w:after="40" w:line="262"/>
            </w:pPr>
            <w:r>
              <w:rPr>
                <w:rFonts w:ascii="Calibri" w:cs="Calibri" w:eastAsia="Calibri" w:hAnsi="Calibri"/>
                <w:color w:val="1A2732"/>
                <w:sz w:val="20"/>
                <w:szCs w:val="20"/>
              </w:rPr>
              <w:t xml:space="preserve">a) Eine Datenpanne / Verletzung des Schutzes personenbezogener Daten (Data Breach). (3 P)</w:t>
            </w:r>
          </w:p>
          <w:p>
            <w:pPr>
              <w:pStyle w:val="ListParagraph"/>
              <w:numPr>
                <w:ilvl w:val="0"/>
                <w:numId w:val="2"/>
              </w:numPr>
              <w:spacing w:after="40" w:line="262"/>
            </w:pPr>
            <w:r>
              <w:rPr>
                <w:rFonts w:ascii="Calibri" w:cs="Calibri" w:eastAsia="Calibri" w:hAnsi="Calibri"/>
                <w:color w:val="1A2732"/>
                <w:sz w:val="20"/>
                <w:szCs w:val="20"/>
              </w:rPr>
              <w:t xml:space="preserve">b) An die zuständige Aufsichtsbehörde, in der Regel innerhalb von 72 Stunden. (5 P)</w:t>
            </w:r>
          </w:p>
          <w:p>
            <w:pPr>
              <w:pStyle w:val="ListParagraph"/>
              <w:numPr>
                <w:ilvl w:val="0"/>
                <w:numId w:val="2"/>
              </w:numPr>
              <w:spacing w:after="40" w:line="262"/>
            </w:pPr>
            <w:r>
              <w:rPr>
                <w:rFonts w:ascii="Calibri" w:cs="Calibri" w:eastAsia="Calibri" w:hAnsi="Calibri"/>
                <w:color w:val="1A2732"/>
                <w:sz w:val="20"/>
                <w:szCs w:val="20"/>
              </w:rPr>
              <w:t xml:space="preserve">c) Wenn ein hohes Risiko für die Betroffenen besteht, sind auch diese zu informieren. (4 P)</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5  </w:t>
            </w:r>
            <w:r>
              <w:rPr>
                <w:rFonts w:ascii="Calibri" w:cs="Calibri" w:eastAsia="Calibri" w:hAnsi="Calibri"/>
                <w:b/>
                <w:bCs/>
                <w:color w:val="FFFFFF"/>
                <w:sz w:val="23"/>
                <w:szCs w:val="23"/>
              </w:rPr>
              <w:t xml:space="preserve">SLA bewerten und rechnen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16 Punkte</w:t>
            </w:r>
          </w:p>
        </w:tc>
      </w:tr>
    </w:tbl>
    <w:p>
      <w:pPr>
        <w:spacing w:after="80"/>
      </w:pPr>
      <w:r>
        <w:t xml:space="preserve"/>
      </w:r>
    </w:p>
    <w:p>
      <w:pPr>
        <w:spacing w:after="120" w:before="0" w:line="276"/>
      </w:pPr>
      <w:r>
        <w:rPr>
          <w:rFonts w:ascii="Calibri" w:cs="Calibri" w:eastAsia="Calibri" w:hAnsi="Calibri"/>
          <w:color w:val="1A1A1A"/>
          <w:sz w:val="21"/>
          <w:szCs w:val="21"/>
        </w:rPr>
        <w:t xml:space="preserve">Im SLA mit dem Dienstleister steht: „Verfügbarkeit 99,5 % pro Monat (30 Tage)."</w:t>
      </w:r>
    </w:p>
    <w:p>
      <w:pPr>
        <w:spacing w:after="120" w:before="60" w:line="276"/>
      </w:pPr>
      <w:r>
        <w:rPr>
          <w:rFonts w:ascii="Calibri" w:cs="Calibri" w:eastAsia="Calibri" w:hAnsi="Calibri"/>
          <w:color w:val="1A1A1A"/>
          <w:sz w:val="21"/>
          <w:szCs w:val="21"/>
        </w:rPr>
        <w:t xml:space="preserve">a) Wie viele Stunden Ausfall sind damit pro Monat maximal erlaubt? (Rechenweg angeben.) b) Nennen Sie zwei weitere Kennzahlen, die in einem guten SLA nicht fehlen sollten. c) Was ist eine Pönale?</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a) 8 P, b) 4 P, c) 4 P.</w:t>
            </w:r>
          </w:p>
          <w:p>
            <w:pPr>
              <w:pStyle w:val="ListParagraph"/>
              <w:numPr>
                <w:ilvl w:val="0"/>
                <w:numId w:val="2"/>
              </w:numPr>
              <w:spacing w:after="40" w:line="262"/>
            </w:pPr>
            <w:r>
              <w:rPr>
                <w:rFonts w:ascii="Calibri" w:cs="Calibri" w:eastAsia="Calibri" w:hAnsi="Calibri"/>
                <w:color w:val="1A2732"/>
                <w:sz w:val="20"/>
                <w:szCs w:val="20"/>
              </w:rPr>
              <w:t xml:space="preserve">a) 30 Tage × 24 h = 720 h pro Monat. 0,5 % davon = 720 × 0,005 = 3,6 Stunden erlaubter Ausfall.</w:t>
            </w:r>
          </w:p>
          <w:p>
            <w:pPr>
              <w:pStyle w:val="ListParagraph"/>
              <w:numPr>
                <w:ilvl w:val="0"/>
                <w:numId w:val="2"/>
              </w:numPr>
              <w:spacing w:after="40" w:line="262"/>
            </w:pPr>
            <w:r>
              <w:rPr>
                <w:rFonts w:ascii="Calibri" w:cs="Calibri" w:eastAsia="Calibri" w:hAnsi="Calibri"/>
                <w:color w:val="1A2732"/>
                <w:sz w:val="20"/>
                <w:szCs w:val="20"/>
              </w:rPr>
              <w:t xml:space="preserve">b) z. B. Reaktionszeit, Lösungszeit, Support-Zeiten, Wartungsfenster.</w:t>
            </w:r>
          </w:p>
          <w:p>
            <w:pPr>
              <w:pStyle w:val="ListParagraph"/>
              <w:numPr>
                <w:ilvl w:val="0"/>
                <w:numId w:val="2"/>
              </w:numPr>
              <w:spacing w:after="40" w:line="262"/>
            </w:pPr>
            <w:r>
              <w:rPr>
                <w:rFonts w:ascii="Calibri" w:cs="Calibri" w:eastAsia="Calibri" w:hAnsi="Calibri"/>
                <w:color w:val="1A2732"/>
                <w:sz w:val="20"/>
                <w:szCs w:val="20"/>
              </w:rPr>
              <w:t xml:space="preserve">c) Eine Pönale ist eine vertraglich vereinbarte Vertragsstrafe, wenn zugesicherte Werte nicht eingehalten werden.</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6  </w:t>
            </w:r>
            <w:r>
              <w:rPr>
                <w:rFonts w:ascii="Calibri" w:cs="Calibri" w:eastAsia="Calibri" w:hAnsi="Calibri"/>
                <w:b/>
                <w:bCs/>
                <w:color w:val="FFFFFF"/>
                <w:sz w:val="23"/>
                <w:szCs w:val="23"/>
              </w:rPr>
              <w:t xml:space="preserve">Lizenzen einordnen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jeden Fall einem Lizenztyp zu (proprietär, Open Source mit Copyleft, Open Source permissiv) und begründen Sie kurz.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Fall</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Bibliothek unter MIT-Lizenz wird in das kommerzielle Produkt eingebaut.</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GPL-Komponente wird verändert und die Software weitergegeben.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gekaufte Datenbank mit Lizenz pro Server, Quellcode nicht einsehbar.</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Je Zuordnung mit Begründung 4 P (2 P Zuordnung, 2 P Begründung), max 14.</w:t>
            </w:r>
          </w:p>
          <w:p>
            <w:pPr>
              <w:pStyle w:val="ListParagraph"/>
              <w:numPr>
                <w:ilvl w:val="0"/>
                <w:numId w:val="2"/>
              </w:numPr>
              <w:spacing w:after="40" w:line="262"/>
            </w:pPr>
            <w:r>
              <w:rPr>
                <w:rFonts w:ascii="Calibri" w:cs="Calibri" w:eastAsia="Calibri" w:hAnsi="Calibri"/>
                <w:color w:val="1A2732"/>
                <w:sz w:val="20"/>
                <w:szCs w:val="20"/>
              </w:rPr>
              <w:t xml:space="preserve">1 = permissiv (MIT): freie Nutzung auch in geschlossenen Produkten, keine Offenlegungspflicht.</w:t>
            </w:r>
          </w:p>
          <w:p>
            <w:pPr>
              <w:pStyle w:val="ListParagraph"/>
              <w:numPr>
                <w:ilvl w:val="0"/>
                <w:numId w:val="2"/>
              </w:numPr>
              <w:spacing w:after="40" w:line="262"/>
            </w:pPr>
            <w:r>
              <w:rPr>
                <w:rFonts w:ascii="Calibri" w:cs="Calibri" w:eastAsia="Calibri" w:hAnsi="Calibri"/>
                <w:color w:val="1A2732"/>
                <w:sz w:val="20"/>
                <w:szCs w:val="20"/>
              </w:rPr>
              <w:t xml:space="preserve">2 = Copyleft (GPL): das abgeleitete Werk muss bei Weitergabe wieder offengelegt werden.</w:t>
            </w:r>
          </w:p>
          <w:p>
            <w:pPr>
              <w:pStyle w:val="ListParagraph"/>
              <w:numPr>
                <w:ilvl w:val="0"/>
                <w:numId w:val="2"/>
              </w:numPr>
              <w:spacing w:after="40" w:line="262"/>
            </w:pPr>
            <w:r>
              <w:rPr>
                <w:rFonts w:ascii="Calibri" w:cs="Calibri" w:eastAsia="Calibri" w:hAnsi="Calibri"/>
                <w:color w:val="1A2732"/>
                <w:sz w:val="20"/>
                <w:szCs w:val="20"/>
              </w:rPr>
              <w:t xml:space="preserve">3 = proprietär: Nutzung nur nach Herstellerbedingungen, Lizenzkosten, Quellcode verschlossen.</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7  </w:t>
            </w:r>
            <w:r>
              <w:rPr>
                <w:rFonts w:ascii="Calibri" w:cs="Calibri" w:eastAsia="Calibri" w:hAnsi="Calibri"/>
                <w:b/>
                <w:bCs/>
                <w:color w:val="FFFFFF"/>
                <w:sz w:val="23"/>
                <w:szCs w:val="23"/>
              </w:rPr>
              <w:t xml:space="preserve">NIS2-Betroffenheit prüfen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Prüfen Sie für beide Unternehmen begründet, ob sie voraussichtlich direkt unter NIS2 fallen (Schwelle: ab etwa 50 Beschäftigten und 10 Mio. € Umsatz, in einem der erfassten Sektoren).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Unternehmen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Nordfracht: 12 Beschäftigte, 2 Mio. € Umsatz, Logistik.</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B</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NordEnergie: 80 Beschäftigte, 15 Mio. € Umsatz, Energieversorgung.</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je Unternehmen 5 P, Zusatzaspekt Lieferkette 4 P.</w:t>
            </w:r>
          </w:p>
          <w:p>
            <w:pPr>
              <w:pStyle w:val="ListParagraph"/>
              <w:numPr>
                <w:ilvl w:val="0"/>
                <w:numId w:val="2"/>
              </w:numPr>
              <w:spacing w:after="40" w:line="262"/>
            </w:pPr>
            <w:r>
              <w:rPr>
                <w:rFonts w:ascii="Calibri" w:cs="Calibri" w:eastAsia="Calibri" w:hAnsi="Calibri"/>
                <w:color w:val="1A2732"/>
                <w:sz w:val="20"/>
                <w:szCs w:val="20"/>
              </w:rPr>
              <w:t xml:space="preserve">A) Nordfracht: unter den Schwellen (nur 12 Beschäftigte, 2 Mio. €) — voraussichtlich nicht direkt NIS2-pflichtig.</w:t>
            </w:r>
          </w:p>
          <w:p>
            <w:pPr>
              <w:pStyle w:val="ListParagraph"/>
              <w:numPr>
                <w:ilvl w:val="0"/>
                <w:numId w:val="2"/>
              </w:numPr>
              <w:spacing w:after="40" w:line="262"/>
            </w:pPr>
            <w:r>
              <w:rPr>
                <w:rFonts w:ascii="Calibri" w:cs="Calibri" w:eastAsia="Calibri" w:hAnsi="Calibri"/>
                <w:color w:val="1A2732"/>
                <w:sz w:val="20"/>
                <w:szCs w:val="20"/>
              </w:rPr>
              <w:t xml:space="preserve">B) NordEnergie: über beiden Schwellen und in einem besonders relevanten Sektor (Energie) — voraussichtlich NIS2-pflichtig.</w:t>
            </w:r>
          </w:p>
          <w:p>
            <w:pPr>
              <w:pStyle w:val="ListParagraph"/>
              <w:numPr>
                <w:ilvl w:val="0"/>
                <w:numId w:val="2"/>
              </w:numPr>
              <w:spacing w:after="40" w:line="262"/>
            </w:pPr>
            <w:r>
              <w:rPr>
                <w:rFonts w:ascii="Calibri" w:cs="Calibri" w:eastAsia="Calibri" w:hAnsi="Calibri"/>
                <w:color w:val="1A2732"/>
                <w:sz w:val="20"/>
                <w:szCs w:val="20"/>
              </w:rPr>
              <w:t xml:space="preserve">Zusatz: Nordfracht kann mittelbar betroffen sein, wenn es als Zulieferer in der Lieferkette eines NIS2-pflichtigen Kunden (z. B. NordEnergie) arbeitet.</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8  </w:t>
            </w:r>
            <w:r>
              <w:rPr>
                <w:rFonts w:ascii="Calibri" w:cs="Calibri" w:eastAsia="Calibri" w:hAnsi="Calibri"/>
                <w:b/>
                <w:bCs/>
                <w:color w:val="FFFFFF"/>
                <w:sz w:val="23"/>
                <w:szCs w:val="23"/>
              </w:rPr>
              <w:t xml:space="preserve">Rechtsfall prüfen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Nordfracht plant: „Wir sammeln alle Daten, die wir kriegen können, speichern sie unbegrenzt und hosten ohne Vertrag beim billigsten Anbieter." Nennen Sie drei rechtliche Probleme dieses Plans mit je einer Korrektur.</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Je Problem mit Korrektur 3–4 P, max 10.</w:t>
            </w:r>
          </w:p>
          <w:p>
            <w:pPr>
              <w:pStyle w:val="ListParagraph"/>
              <w:numPr>
                <w:ilvl w:val="0"/>
                <w:numId w:val="2"/>
              </w:numPr>
              <w:spacing w:after="40" w:line="262"/>
            </w:pPr>
            <w:r>
              <w:rPr>
                <w:rFonts w:ascii="Calibri" w:cs="Calibri" w:eastAsia="Calibri" w:hAnsi="Calibri"/>
                <w:color w:val="1A2732"/>
                <w:sz w:val="20"/>
                <w:szCs w:val="20"/>
              </w:rPr>
              <w:t xml:space="preserve">„Alle Daten sammeln" verstößt gegen Datenminimierung — nur nötige Daten erheben.</w:t>
            </w:r>
          </w:p>
          <w:p>
            <w:pPr>
              <w:pStyle w:val="ListParagraph"/>
              <w:numPr>
                <w:ilvl w:val="0"/>
                <w:numId w:val="2"/>
              </w:numPr>
              <w:spacing w:after="40" w:line="262"/>
            </w:pPr>
            <w:r>
              <w:rPr>
                <w:rFonts w:ascii="Calibri" w:cs="Calibri" w:eastAsia="Calibri" w:hAnsi="Calibri"/>
                <w:color w:val="1A2732"/>
                <w:sz w:val="20"/>
                <w:szCs w:val="20"/>
              </w:rPr>
              <w:t xml:space="preserve">„Unbegrenzt speichern" verstößt gegen Speicherbegrenzung — Löschfristen festlegen.</w:t>
            </w:r>
          </w:p>
          <w:p>
            <w:pPr>
              <w:pStyle w:val="ListParagraph"/>
              <w:numPr>
                <w:ilvl w:val="0"/>
                <w:numId w:val="2"/>
              </w:numPr>
              <w:spacing w:after="40" w:line="262"/>
            </w:pPr>
            <w:r>
              <w:rPr>
                <w:rFonts w:ascii="Calibri" w:cs="Calibri" w:eastAsia="Calibri" w:hAnsi="Calibri"/>
                <w:color w:val="1A2732"/>
                <w:sz w:val="20"/>
                <w:szCs w:val="20"/>
              </w:rPr>
              <w:t xml:space="preserve">„Hosten ohne Vertrag" verstößt gegen die AVV-Pflicht — Auftragsverarbeitungsvertrag schließen.</w:t>
            </w:r>
          </w:p>
        </w:tc>
      </w:tr>
    </w:tbl>
    <w:p>
      <w:pPr>
        <w:spacing w:after="60"/>
      </w:pPr>
      <w:r>
        <w:br w:type="page"/>
      </w:r>
    </w:p>
    <w:p>
      <w:pPr>
        <w:spacing w:after="120"/>
      </w:pPr>
      <w:r>
        <w:rPr>
          <w:rFonts w:ascii="Calibri" w:cs="Calibri" w:eastAsia="Calibri" w:hAnsi="Calibri"/>
          <w:b/>
          <w:bCs/>
          <w:color w:val="003366"/>
          <w:sz w:val="28"/>
          <w:szCs w:val="28"/>
        </w:rPr>
        <w:t xml:space="preserve">Punkteübersicht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5426"/>
        <w:gridCol w:w="2000"/>
      </w:tblGrid>
      <w:tr>
        <w:trPr>
          <w:tblHeader/>
        </w:trPr>
        <w:tc>
          <w:tcPr>
            <w:tcW w:type="dxa" w:w="1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Aufgabe</w:t>
            </w:r>
          </w:p>
        </w:tc>
        <w:tc>
          <w:tcPr>
            <w:tcW w:type="dxa" w:w="5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Thema</w:t>
            </w:r>
          </w:p>
        </w:tc>
        <w:tc>
          <w:tcPr>
            <w:tcW w:type="dxa" w:w="2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DSGVO-Prinzipien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Rechtsgrundlage und Datenminimierung</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Auftragsverarbeitung</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Datenpanne</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SLA bewerten und rechnen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16</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Lizenzen einordnen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7</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NIS2-Betroffenheit prüfen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8</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Rechtsfall prüfen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Gesamt</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Lösungsheft E6 · Recht und Compliance</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2E7D3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Lösungsheft E6</dc:title>
  <dc:creator>bfw Lübeck</dc:creator>
  <cp:lastModifiedBy>Un-named</cp:lastModifiedBy>
  <cp:revision>1</cp:revision>
  <dcterms:created xsi:type="dcterms:W3CDTF">2026-07-29T05:59:59.053Z</dcterms:created>
  <dcterms:modified xsi:type="dcterms:W3CDTF">2026-07-29T05:59:59.053Z</dcterms:modified>
</cp:coreProperties>
</file>

<file path=docProps/custom.xml><?xml version="1.0" encoding="utf-8"?>
<Properties xmlns="http://schemas.openxmlformats.org/officeDocument/2006/custom-properties" xmlns:vt="http://schemas.openxmlformats.org/officeDocument/2006/docPropsVTypes"/>
</file>