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E4 · FISI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3"/>
          <w:szCs w:val="33"/>
        </w:rPr>
        <w:t xml:space="preserve">Lösungsheft E4 (FISI)</w:t>
      </w:r>
    </w:p>
    <w:p>
      <w:pPr>
        <w:spacing w:after="200" w:before="120" w:line="276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Umsetzung der Infrastruktur — Fallstudie Nordfracht Logistik GmbH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400"/>
        <w:gridCol w:w="20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Musterlösung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 / 100</w:t>
            </w:r>
          </w:p>
        </w:tc>
      </w:tr>
    </w:tbl>
    <w:p>
      <w:pPr>
        <w:spacing w:after="180" w:before="16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Bearbeitungshinweis: Beziehen Sie Ihre Antworten auf das Nordfracht-Szenario. Rechenwege beim Subnetting angeben. Gesamt: 100 Punkte.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1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Ist-Analyse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Nennen Sie vier Bereiche, die Sie bei einer Ist-Analyse der IT-Landschaft aufnehmen, und geben Sie je ein konkretes Beispiel für Nordfracht an.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Je Bereich mit Beispiel 2,5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Hardware — z. B. vorhandene Büro-PCs des Disponenten.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Software — z. B. Office-Programme, bisher genutzte Tabellen.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Netz — z. B. vorhandener Internetanschluss und Router.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Daten — z. B. Kunden-, Fahrer- und bisherige Tourdaten aus Papier/Tabellen.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2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Soll-Konzept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Entwerfen Sie das Soll-Konzept für die Tourenplanung. Nennen Sie a) zwei benötigte Server mit Aufgabe, b) zwei Basisdienste, c) zwei Sicherheitsmaßnahmen.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Je korrekte Nennung 2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a) Applikationsserver (Tourenplanungs-Anwendung), Datenbankserver (Kunden-/Tourdaten).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b) DNS und DHCP; alternativ Backup-Dienst, Verzeichnisdienst.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c) Firewall zwischen den Segmenten, Berechtigungen nach minimalen Rechten, regelmäßiges Backup.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3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IP- und Netzkonzept (Subnetting)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16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Aus dem Netz 192.168.50.0/24 sollen vier gleich große Subnetze für Server, Arbeitsplätze, Fahrer und Management gebildet werden.</w:t>
      </w:r>
    </w:p>
    <w:p>
      <w:pPr>
        <w:spacing w:after="120" w:before="6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Welches Präfix (Suffix) ergibt vier Subnetze? b) Geben Sie für jedes Subnetz Netzadresse und Anzahl nutzbarer Hosts an.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Präfix 4 P, je Subnetz 3 P.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b/>
                <w:bCs/>
                <w:color w:val="1A2732"/>
                <w:sz w:val="20"/>
                <w:szCs w:val="20"/>
              </w:rPr>
              <w:t xml:space="preserve">a) Vier Subnetze brauchen 2 zusätzliche Netzbits → /26 (255.255.255.192).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b/>
                <w:bCs/>
                <w:color w:val="1A2732"/>
                <w:sz w:val="20"/>
                <w:szCs w:val="20"/>
              </w:rPr>
              <w:t xml:space="preserve">b) Je /26 = 64 Adressen, davon 62 nutzbar:</w:t>
            </w:r>
          </w:p>
          <w:p>
            <w:pPr>
              <w:spacing w:after="60" w:line="264"/>
            </w:pPr>
            <w:r>
              <w:rPr>
                <w:rFonts w:ascii="Consolas" w:cs="Consolas" w:eastAsia="Consolas" w:hAnsi="Consolas"/>
                <w:color w:val="1A2732"/>
                <w:sz w:val="20"/>
                <w:szCs w:val="20"/>
              </w:rPr>
              <w:t xml:space="preserve">192.168.50.0/26   → Hosts .1–.62   (Server)</w:t>
            </w:r>
          </w:p>
          <w:p>
            <w:pPr>
              <w:spacing w:after="60" w:line="264"/>
            </w:pPr>
            <w:r>
              <w:rPr>
                <w:rFonts w:ascii="Consolas" w:cs="Consolas" w:eastAsia="Consolas" w:hAnsi="Consolas"/>
                <w:color w:val="1A2732"/>
                <w:sz w:val="20"/>
                <w:szCs w:val="20"/>
              </w:rPr>
              <w:t xml:space="preserve">192.168.50.64/26  → Hosts .65–.126  (Arbeitsplätze)</w:t>
            </w:r>
          </w:p>
          <w:p>
            <w:pPr>
              <w:spacing w:after="60" w:line="264"/>
            </w:pPr>
            <w:r>
              <w:rPr>
                <w:rFonts w:ascii="Consolas" w:cs="Consolas" w:eastAsia="Consolas" w:hAnsi="Consolas"/>
                <w:color w:val="1A2732"/>
                <w:sz w:val="20"/>
                <w:szCs w:val="20"/>
              </w:rPr>
              <w:t xml:space="preserve">192.168.50.128/26 → Hosts .129–.190 (Fahrer)</w:t>
            </w:r>
          </w:p>
          <w:p>
            <w:pPr>
              <w:spacing w:after="60" w:line="264"/>
            </w:pPr>
            <w:r>
              <w:rPr>
                <w:rFonts w:ascii="Consolas" w:cs="Consolas" w:eastAsia="Consolas" w:hAnsi="Consolas"/>
                <w:color w:val="1A2732"/>
                <w:sz w:val="20"/>
                <w:szCs w:val="20"/>
              </w:rPr>
              <w:t xml:space="preserve">192.168.50.192/26 → Hosts .193–.254 (Management)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4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Migrationsstrategie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Beschreiben Sie kurz Big Bang, Parallelbetrieb und schrittweise Migration. b) Welche Strategie empfehlen Sie für Nordfracht? Begründen Sie mit Bezug auf das Risiko und die Betriebsfähigkeit.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drei Strategien je 3 P, begründete Empfehlung 5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Big Bang: Umstellung zum Stichtag auf einen Schlag — schnell, aber riskant.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Parallelbetrieb: Alt und Neu laufen gleichzeitig — sicher, aber doppelter Aufwand.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Schrittweise/Pilot: erst kleine Gruppe, dann Rest — Risiko gestreut, dauert länger.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Empfehlung: schrittweise mit Pilotgruppe. Nordfracht darf während der Umstellung nicht handlungsunfähig werden; ein Pilot mit wenigen Fahrern hält das Risiko klein und erlaubt Korrekturen, bevor alle umgestellt werden.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5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Absicherung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Nennen Sie vier Maßnahmen, mit denen Sie die neue Umgebung absichern, und begründen Sie je eine davon.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Je Maßnahme 2,5 P (inkl. je einer Begründung), max 12.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Backup einrichten und Wiederherstellung testen — ein ungetestetes Backup schützt nicht.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Berechtigungen nach minimalen Rechten — begrenzt Schaden bei kompromittiertem Konto.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System härten (Dienste aus, Updates ein) — verkleinert die Angriffsfläche.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Firewall-Regeln zwischen den Segmenten — Fahrer-Clients erreichen die Server nicht direkt.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6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Test und Abnahme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Formulieren Sie vier Testfälle für die Abnahme. Jeder Testfall braucht eine Aktion und ein erwartetes Ergebnis.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Je Testfall (Aktion + erwartetes Ergebnis) 3,5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Funktionstest: Disponent-PC ruft die Anwendung auf → Startseite lädt in unter 2 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Datenbank: Tour anlegen und neu laden → Tour ist gespeichert und sichtbar.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Sicherheit: Fahrer-Client versucht direkten Serverzugriff → wird durch Firewall blockiert.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Wiederherstellung: Backup zurückspielen → Datenbestand ist vollständig vorhanden.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7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Rollout und Rückfallebene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Planen Sie den Rollout. a) Nennen Sie drei Schritte des Cutovers in sinnvoller Reihenfolge. b) Was gehört zur Rückfallebene, und warum ist sie unverzichtbar?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a) 6 P (je Schritt 2 P), b) 6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a) 1. Vollständiges Backup des Ausgangszustands. 2. Daten final übernehmen und abgleichen. 3. Clients umstellen und Anwender einweisen.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b) Rückfallebene = Backup des Ausgangszustands + Rollback-Plan + klare Abbruchkriterien. Sie ist unverzichtbar, weil man bei einem gescheiterten Cutover sonst weder zurück noch vorwärts kann und der Betrieb steht.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8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Vorgehen prüfen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Kollege schlägt vor: „Wir stellen am Montagmorgen komplett um, ein Backup machen wir hinterher, wenn alles läuft." Nennen Sie zwei Fehler in diesem Vorgehen und je eine bessere Alternative.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Je Fehler mit Alternative 5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Fehler 1: Big Bang ohne Not zur Hauptbetriebszeit (Montagmorgen). Besser: Cutover in einer ruhigen Zeit, möglichst schrittweise.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Fehler 2: Backup erst nach der Umstellung. Besser: vollständiges Backup VOR dem Cutover — sonst gibt es keine Rückfallebene, wenn die Umstellung scheitert.</w:t>
            </w:r>
          </w:p>
        </w:tc>
      </w:tr>
    </w:tbl>
    <w:p>
      <w:pPr>
        <w:spacing w:after="60"/>
      </w:pPr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Punkteübersicht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5426"/>
        <w:gridCol w:w="2000"/>
      </w:tblGrid>
      <w:tr>
        <w:trPr>
          <w:tblHeader/>
        </w:trP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Ist-Analyse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Soll-Konzept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IP- und Netzkonzept (Subnetting)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Migrationsstrategie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Absicherung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Test und Abnahme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Rollout und Rückfallebene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8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Vorgehen prüfen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Gesamt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Lösungsheft E4 (FISI) · Umsetzung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20"/>
      </w:pPr>
      <w:rPr>
        <w:color w:val="2E7D3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Lösungsheft E4 FISI</dc:title>
  <dc:creator>bfw Lübeck</dc:creator>
  <cp:lastModifiedBy>Un-named</cp:lastModifiedBy>
  <cp:revision>1</cp:revision>
  <dcterms:created xsi:type="dcterms:W3CDTF">2026-07-27T18:13:27.038Z</dcterms:created>
  <dcterms:modified xsi:type="dcterms:W3CDTF">2026-07-27T18:13:27.038Z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