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66AA"/>
          <w:sz w:val="20"/>
          <w:szCs w:val="20"/>
        </w:rPr>
        <w:t xml:space="preserve">bfw Lübeck · Modul M · Lernfeld 12 · Fachrichtung FISI</w:t>
      </w:r>
    </w:p>
    <w:p>
      <w:pPr>
        <w:pBdr>
          <w:bottom w:val="single" w:color="F0A500" w:sz="18" w:space="6"/>
        </w:pBdr>
        <w:spacing w:after="60"/>
      </w:pPr>
      <w:r>
        <w:rPr>
          <w:rFonts w:ascii="Calibri" w:cs="Calibri" w:eastAsia="Calibri" w:hAnsi="Calibri"/>
          <w:b/>
          <w:bCs/>
          <w:color w:val="003366"/>
          <w:sz w:val="30"/>
          <w:szCs w:val="30"/>
        </w:rPr>
        <w:t xml:space="preserve">Handout E4 (FISI) — Umsetzung der Infrastruktur</w:t>
      </w:r>
    </w:p>
    <w:p>
      <w:pPr>
        <w:spacing w:after="240" w:before="120" w:line="276"/>
      </w:pPr>
      <w:r>
        <w:rPr>
          <w:rFonts w:ascii="Calibri" w:cs="Calibri" w:eastAsia="Calibri" w:hAnsi="Calibri"/>
          <w:i/>
          <w:iCs/>
          <w:color w:val="444444"/>
          <w:sz w:val="24"/>
          <w:szCs w:val="24"/>
        </w:rPr>
        <w:t xml:space="preserve">Von der Ist-Analyse bis zum Rollout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Angabe</w:t>
            </w:r>
          </w:p>
        </w:tc>
        <w:tc>
          <w:tcPr>
            <w:tcW w:type="dxa" w:w="6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Wert</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Etappe</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E4 im Lernfeld 12 (Fachrichtung FISI)</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Fachrichtung</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FISI</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Umfang</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Teil der 100 UE (E4)</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Voraussetzung</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Pflichtenheft, Angebot und Projektplan (E1–E3)</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Ergebnis</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produktive, abgesicherte Infrastruktur</w:t>
            </w:r>
          </w:p>
        </w:tc>
      </w:tr>
    </w:tbl>
    <w:p>
      <w:pPr>
        <w:spacing w:after="80" w:before="220"/>
      </w:pPr>
      <w:r>
        <w:rPr>
          <w:rFonts w:ascii="Calibri" w:cs="Calibri" w:eastAsia="Calibri" w:hAnsi="Calibri"/>
          <w:b/>
          <w:bCs/>
          <w:color w:val="003366"/>
          <w:sz w:val="24"/>
          <w:szCs w:val="24"/>
        </w:rPr>
        <w:t xml:space="preserve">Inhalt</w:t>
      </w:r>
    </w:p>
    <w:sdt>
      <w:sdtPr>
        <w:alias w:val="Inhalt"/>
      </w:sdtPr>
      <w:sdtContent>
        <w:p>
          <w:r>
            <w:fldChar w:fldCharType="begin" w:dirty="true"/>
            <w:instrText xml:space="preserve">TOC \h \o "1-2"</w:instrText>
            <w:fldChar w:fldCharType="separate"/>
          </w:r>
        </w:p>
        <w:p>
          <w:r>
            <w:fldChar w:fldCharType="end"/>
          </w:r>
        </w:p>
      </w:sdtContent>
    </w:sdt>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1  Der Umsetzungsweg</w:t>
      </w:r>
    </w:p>
    <w:p>
      <w:pPr>
        <w:spacing w:after="120" w:before="0" w:line="276"/>
      </w:pPr>
      <w:r>
        <w:rPr>
          <w:rFonts w:ascii="Calibri" w:cs="Calibri" w:eastAsia="Calibri" w:hAnsi="Calibri"/>
          <w:color w:val="1A1A1A"/>
          <w:sz w:val="21"/>
          <w:szCs w:val="21"/>
        </w:rPr>
        <w:t xml:space="preserve">In den Etappen E1 bis E3 wurde geklärt, was gebaut werden soll, was es kostet und wie der Zeitplan aussieht. Jetzt entsteht die Infrastruktur für die digitale Tourenplanung. Der Weg führt in vier Schritten von der bestehenden Lage zur neuen, produktiven Umgebung: Ist-Analyse, Soll-Konzept, Migration, Rollout.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20"/>
              <w:left w:type="dxa" w:w="160"/>
              <w:bottom w:type="dxa" w:w="120"/>
              <w:right w:type="dxa" w:w="160"/>
            </w:tcMar>
          </w:tcPr>
          <w:p>
            <w:pPr>
              <w:spacing w:after="60"/>
            </w:pPr>
            <w:r>
              <w:rPr>
                <w:rFonts w:ascii="Calibri" w:cs="Calibri" w:eastAsia="Calibri" w:hAnsi="Calibri"/>
                <w:b/>
                <w:bCs/>
                <w:color w:val="1B5E20"/>
                <w:sz w:val="21"/>
                <w:szCs w:val="21"/>
              </w:rPr>
              <w:t xml:space="preserve">Merksatz</w:t>
            </w:r>
          </w:p>
          <w:p>
            <w:pPr>
              <w:spacing w:after="40" w:line="264"/>
            </w:pPr>
            <w:r>
              <w:rPr>
                <w:rFonts w:ascii="Calibri" w:cs="Calibri" w:eastAsia="Calibri" w:hAnsi="Calibri"/>
                <w:color w:val="1A1A1A"/>
                <w:sz w:val="20"/>
                <w:szCs w:val="20"/>
              </w:rPr>
              <w:t xml:space="preserve">Umsetzung heißt nicht nur einrichten, sondern das Alte geordnet durch das Neue ablösen — ohne den Betrieb lahmzulegen.</w:t>
            </w:r>
          </w:p>
        </w:tc>
      </w:tr>
    </w:tbl>
    <w:p>
      <w:pPr>
        <w:pStyle w:val="Heading1"/>
        <w:pBdr>
          <w:bottom w:val="single" w:color="F0A500" w:sz="12" w:space="4"/>
        </w:pBdr>
        <w:spacing w:after="180" w:before="360"/>
      </w:pPr>
      <w:r>
        <w:rPr>
          <w:rFonts w:ascii="Calibri" w:cs="Calibri" w:eastAsia="Calibri" w:hAnsi="Calibri"/>
          <w:b/>
          <w:bCs/>
          <w:color w:val="003366"/>
          <w:sz w:val="30"/>
          <w:szCs w:val="30"/>
        </w:rPr>
        <w:t xml:space="preserve">2  Ist-Analyse</w:t>
      </w:r>
    </w:p>
    <w:p>
      <w:pPr>
        <w:spacing w:after="120" w:before="0" w:line="276"/>
      </w:pPr>
      <w:r>
        <w:rPr>
          <w:rFonts w:ascii="Calibri" w:cs="Calibri" w:eastAsia="Calibri" w:hAnsi="Calibri"/>
          <w:color w:val="1A1A1A"/>
          <w:sz w:val="21"/>
          <w:szCs w:val="21"/>
        </w:rPr>
        <w:t xml:space="preserve">Bevor etwas Neues gebaut wird, wird der Ist-Zustand aufgenommen und dokumentiert. Erfasst werden Hardware (Server, Clients, Netzwerkgeräte), Software (Betriebssysteme, Dienste, Versionen), das Netz (Adressbereiche, VLANs, Internetanbindung) und die Datenbestände (was liegt wo, wie viel, in welchem Format).</w:t>
      </w:r>
    </w:p>
    <w:p>
      <w:pPr>
        <w:spacing w:after="120" w:before="0" w:line="276"/>
      </w:pPr>
      <w:r>
        <w:rPr>
          <w:rFonts w:ascii="Calibri" w:cs="Calibri" w:eastAsia="Calibri" w:hAnsi="Calibri"/>
          <w:color w:val="1A1A1A"/>
          <w:sz w:val="21"/>
          <w:szCs w:val="21"/>
        </w:rPr>
        <w:t xml:space="preserve">Ohne Ist-Bild plant man ins Blaue. Die Ist-Analyse deckt Abhängigkeiten und Altlasten auf und ist die Grundlage für die Aufwands- und Risikoabschätzung der Migration.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66AA" w:sz="6"/>
              <w:left w:val="single" w:color="0066AA" w:sz="18"/>
              <w:bottom w:val="single" w:color="0066AA" w:sz="6"/>
              <w:right w:val="single" w:color="0066AA" w:sz="6"/>
            </w:tcBorders>
            <w:shd w:fill="EEF5FB" w:color="auto" w:val="clear"/>
            <w:tcMar>
              <w:top w:type="dxa" w:w="120"/>
              <w:left w:type="dxa" w:w="160"/>
              <w:bottom w:type="dxa" w:w="120"/>
              <w:right w:type="dxa" w:w="160"/>
            </w:tcMar>
          </w:tcPr>
          <w:p>
            <w:pPr>
              <w:spacing w:after="60"/>
            </w:pPr>
            <w:r>
              <w:rPr>
                <w:rFonts w:ascii="Calibri" w:cs="Calibri" w:eastAsia="Calibri" w:hAnsi="Calibri"/>
                <w:b/>
                <w:bCs/>
                <w:color w:val="003366"/>
                <w:sz w:val="21"/>
                <w:szCs w:val="21"/>
              </w:rPr>
              <w:t xml:space="preserve">Nordfracht</w:t>
            </w:r>
          </w:p>
          <w:p>
            <w:pPr>
              <w:spacing w:after="40" w:line="264"/>
            </w:pPr>
            <w:r>
              <w:rPr>
                <w:rFonts w:ascii="Calibri" w:cs="Calibri" w:eastAsia="Calibri" w:hAnsi="Calibri"/>
                <w:color w:val="1A1A1A"/>
                <w:sz w:val="20"/>
                <w:szCs w:val="20"/>
              </w:rPr>
              <w:t xml:space="preserve">Nordfracht arbeitet heute mit Papier und Telefon. Es gibt kaum bestehende IT zum Ablösen — aber Datenbestände (Kunden, Fahrer, bisherige Touren), die übernommen werden müssen.</w:t>
            </w:r>
          </w:p>
        </w:tc>
      </w:tr>
    </w:tbl>
    <w:p>
      <w:pPr>
        <w:pStyle w:val="Heading1"/>
        <w:pBdr>
          <w:bottom w:val="single" w:color="F0A500" w:sz="12" w:space="4"/>
        </w:pBdr>
        <w:spacing w:after="180" w:before="360"/>
      </w:pPr>
      <w:r>
        <w:rPr>
          <w:rFonts w:ascii="Calibri" w:cs="Calibri" w:eastAsia="Calibri" w:hAnsi="Calibri"/>
          <w:b/>
          <w:bCs/>
          <w:color w:val="003366"/>
          <w:sz w:val="30"/>
          <w:szCs w:val="30"/>
        </w:rPr>
        <w:t xml:space="preserve">3  Soll-Konzept</w:t>
      </w:r>
    </w:p>
    <w:p>
      <w:pPr>
        <w:spacing w:after="120" w:before="0" w:line="276"/>
      </w:pPr>
      <w:r>
        <w:rPr>
          <w:rFonts w:ascii="Calibri" w:cs="Calibri" w:eastAsia="Calibri" w:hAnsi="Calibri"/>
          <w:color w:val="1A1A1A"/>
          <w:sz w:val="21"/>
          <w:szCs w:val="21"/>
        </w:rPr>
        <w:t xml:space="preserve">Das Soll-Konzept beschreibt die Zielumgebung, die die Anforderungen aus dem Pflichtenheft erfüllt. Dazu gehören:</w:t>
      </w:r>
    </w:p>
    <w:p>
      <w:pPr>
        <w:pStyle w:val="ListParagraph"/>
        <w:numPr>
          <w:ilvl w:val="0"/>
          <w:numId w:val="2"/>
        </w:numPr>
        <w:spacing w:after="70" w:line="270"/>
      </w:pPr>
      <w:r>
        <w:rPr>
          <w:rFonts w:ascii="Calibri" w:cs="Calibri" w:eastAsia="Calibri" w:hAnsi="Calibri"/>
          <w:color w:val="1A1A1A"/>
          <w:sz w:val="21"/>
          <w:szCs w:val="21"/>
        </w:rPr>
        <w:t xml:space="preserve">Server: Applikations- und Datenbankserver, häufig virtualisiert oder in Containern.</w:t>
      </w:r>
    </w:p>
    <w:p>
      <w:pPr>
        <w:pStyle w:val="ListParagraph"/>
        <w:numPr>
          <w:ilvl w:val="0"/>
          <w:numId w:val="2"/>
        </w:numPr>
        <w:spacing w:after="70" w:line="270"/>
      </w:pPr>
      <w:r>
        <w:rPr>
          <w:rFonts w:ascii="Calibri" w:cs="Calibri" w:eastAsia="Calibri" w:hAnsi="Calibri"/>
          <w:color w:val="1A1A1A"/>
          <w:sz w:val="21"/>
          <w:szCs w:val="21"/>
        </w:rPr>
        <w:t xml:space="preserve">Basisdienste: Verzeichnisdienst, DHCP, DNS, Backup.</w:t>
      </w:r>
    </w:p>
    <w:p>
      <w:pPr>
        <w:pStyle w:val="ListParagraph"/>
        <w:numPr>
          <w:ilvl w:val="0"/>
          <w:numId w:val="2"/>
        </w:numPr>
        <w:spacing w:after="70" w:line="270"/>
      </w:pPr>
      <w:r>
        <w:rPr>
          <w:rFonts w:ascii="Calibri" w:cs="Calibri" w:eastAsia="Calibri" w:hAnsi="Calibri"/>
          <w:color w:val="1A1A1A"/>
          <w:sz w:val="21"/>
          <w:szCs w:val="21"/>
        </w:rPr>
        <w:t xml:space="preserve">Netz: Segmentierung und geregelter Zugriff für Disponent- und Fahrer-Clients.</w:t>
      </w:r>
    </w:p>
    <w:p>
      <w:pPr>
        <w:pStyle w:val="ListParagraph"/>
        <w:numPr>
          <w:ilvl w:val="0"/>
          <w:numId w:val="2"/>
        </w:numPr>
        <w:spacing w:after="70" w:line="270"/>
      </w:pPr>
      <w:r>
        <w:rPr>
          <w:rFonts w:ascii="Calibri" w:cs="Calibri" w:eastAsia="Calibri" w:hAnsi="Calibri"/>
          <w:color w:val="1A1A1A"/>
          <w:sz w:val="21"/>
          <w:szCs w:val="21"/>
        </w:rPr>
        <w:t xml:space="preserve">Sicherheit: Firewall, Berechtigungen, Datensicherung.</w:t>
      </w:r>
    </w:p>
    <w:p>
      <w:pPr>
        <w:pStyle w:val="Heading2"/>
        <w:spacing w:after="120" w:before="280"/>
      </w:pPr>
      <w:r>
        <w:rPr>
          <w:rFonts w:ascii="Calibri" w:cs="Calibri" w:eastAsia="Calibri" w:hAnsi="Calibri"/>
          <w:b/>
          <w:bCs/>
          <w:color w:val="0066AA"/>
          <w:sz w:val="24"/>
          <w:szCs w:val="24"/>
        </w:rPr>
        <w:t xml:space="preserve">3.1  IP- und Netzkonzept</w:t>
      </w:r>
    </w:p>
    <w:p>
      <w:pPr>
        <w:spacing w:after="120" w:before="0" w:line="276"/>
      </w:pPr>
      <w:r>
        <w:rPr>
          <w:rFonts w:ascii="Calibri" w:cs="Calibri" w:eastAsia="Calibri" w:hAnsi="Calibri"/>
          <w:color w:val="1A1A1A"/>
          <w:sz w:val="21"/>
          <w:szCs w:val="21"/>
        </w:rPr>
        <w:t xml:space="preserve">Ein sauberer Adressplan trennt Bereiche, erleichtert die Fehlersuche und erhöht die Sicherheit. Jedes Segment erhält ein eigenes Subnetz und VLAN. Beispiel für Nordfracht: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1200"/>
        <w:gridCol w:w="2826"/>
      </w:tblGrid>
      <w:tr>
        <w:trPr>
          <w:tblHeader/>
        </w:trPr>
        <w:tc>
          <w:tcPr>
            <w:tcW w:type="dxa" w:w="24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Segment</w:t>
            </w:r>
          </w:p>
        </w:tc>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Netz</w:t>
            </w:r>
          </w:p>
        </w:tc>
        <w:tc>
          <w:tcPr>
            <w:tcW w:type="dxa" w:w="12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VLAN</w:t>
            </w:r>
          </w:p>
        </w:tc>
        <w:tc>
          <w:tcPr>
            <w:tcW w:type="dxa" w:w="28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Zweck</w:t>
            </w:r>
          </w:p>
        </w:tc>
      </w:tr>
      <w:tr>
        <w:tc>
          <w:tcPr>
            <w:tcW w:type="dxa" w:w="2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Server</w:t>
            </w:r>
          </w:p>
        </w:tc>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10.10.10.0/24</w:t>
            </w:r>
          </w:p>
        </w:tc>
        <w:tc>
          <w:tcPr>
            <w:tcW w:type="dxa" w:w="12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10</w:t>
            </w:r>
          </w:p>
        </w:tc>
        <w:tc>
          <w:tcPr>
            <w:tcW w:type="dxa" w:w="28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Applikations- und DB-Server</w:t>
            </w:r>
          </w:p>
        </w:tc>
      </w:tr>
      <w:tr>
        <w:tc>
          <w:tcPr>
            <w:tcW w:type="dxa" w:w="24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Arbeitsplätze</w:t>
            </w:r>
          </w:p>
        </w:tc>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10.10.20.0/24</w:t>
            </w:r>
          </w:p>
        </w:tc>
        <w:tc>
          <w:tcPr>
            <w:tcW w:type="dxa" w:w="12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20</w:t>
            </w:r>
          </w:p>
        </w:tc>
        <w:tc>
          <w:tcPr>
            <w:tcW w:type="dxa" w:w="28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Disponent, Verwaltung</w:t>
            </w:r>
          </w:p>
        </w:tc>
      </w:tr>
      <w:tr>
        <w:tc>
          <w:tcPr>
            <w:tcW w:type="dxa" w:w="2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Fahrer / mobil</w:t>
            </w:r>
          </w:p>
        </w:tc>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10.10.30.0/24</w:t>
            </w:r>
          </w:p>
        </w:tc>
        <w:tc>
          <w:tcPr>
            <w:tcW w:type="dxa" w:w="12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30</w:t>
            </w:r>
          </w:p>
        </w:tc>
        <w:tc>
          <w:tcPr>
            <w:tcW w:type="dxa" w:w="28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Fahrer-Clients über WLAN/VPN</w:t>
            </w:r>
          </w:p>
        </w:tc>
      </w:tr>
      <w:tr>
        <w:tc>
          <w:tcPr>
            <w:tcW w:type="dxa" w:w="24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Management</w:t>
            </w:r>
          </w:p>
        </w:tc>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10.10.99.0/24</w:t>
            </w:r>
          </w:p>
        </w:tc>
        <w:tc>
          <w:tcPr>
            <w:tcW w:type="dxa" w:w="12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99</w:t>
            </w:r>
          </w:p>
        </w:tc>
        <w:tc>
          <w:tcPr>
            <w:tcW w:type="dxa" w:w="28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Switch- und Server-Verwaltung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Prinzip</w:t>
            </w:r>
          </w:p>
          <w:p>
            <w:pPr>
              <w:spacing w:after="40" w:line="264"/>
            </w:pPr>
            <w:r>
              <w:rPr>
                <w:rFonts w:ascii="Calibri" w:cs="Calibri" w:eastAsia="Calibri" w:hAnsi="Calibri"/>
                <w:color w:val="1A1A1A"/>
                <w:sz w:val="20"/>
                <w:szCs w:val="20"/>
              </w:rPr>
              <w:t xml:space="preserve">Fahrer-Clients erreichen nie direkt die Server. Der Zugriff läuft ausschließlich über die Anwendung, abgesichert durch Firewall-Regeln zwischen den VLANs.</w:t>
            </w:r>
          </w:p>
        </w:tc>
      </w:tr>
    </w:tbl>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4  Migrationsstrategien</w:t>
      </w:r>
    </w:p>
    <w:p>
      <w:pPr>
        <w:spacing w:after="120" w:before="0" w:line="276"/>
      </w:pPr>
      <w:r>
        <w:rPr>
          <w:rFonts w:ascii="Calibri" w:cs="Calibri" w:eastAsia="Calibri" w:hAnsi="Calibri"/>
          <w:color w:val="1A1A1A"/>
          <w:sz w:val="21"/>
          <w:szCs w:val="21"/>
        </w:rPr>
        <w:t xml:space="preserve">Für den Übergang vom Alt- zum Neusystem gibt es drei Grundstrategien. Die Wahl richtet sich nach Risiko, Aufwand und der Frage, wie kritisch ein Ausfall wäre.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3213"/>
        <w:gridCol w:w="3413"/>
      </w:tblGrid>
      <w:tr>
        <w:trPr>
          <w:tblHeader/>
        </w:trPr>
        <w:tc>
          <w:tcPr>
            <w:tcW w:type="dxa" w:w="24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Strategie</w:t>
            </w:r>
          </w:p>
        </w:tc>
        <w:tc>
          <w:tcPr>
            <w:tcW w:type="dxa" w:w="3213"/>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Vorteil</w:t>
            </w:r>
          </w:p>
        </w:tc>
        <w:tc>
          <w:tcPr>
            <w:tcW w:type="dxa" w:w="3413"/>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Nachteil</w:t>
            </w:r>
          </w:p>
        </w:tc>
      </w:tr>
      <w:tr>
        <w:tc>
          <w:tcPr>
            <w:tcW w:type="dxa" w:w="2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Big Bang</w:t>
            </w:r>
          </w:p>
        </w:tc>
        <w:tc>
          <w:tcPr>
            <w:tcW w:type="dxa" w:w="32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schnell, klarer Schnitt</w:t>
            </w:r>
          </w:p>
        </w:tc>
        <w:tc>
          <w:tcPr>
            <w:tcW w:type="dxa" w:w="34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hohes Risiko, kein leichter Rückweg</w:t>
            </w:r>
          </w:p>
        </w:tc>
      </w:tr>
      <w:tr>
        <w:tc>
          <w:tcPr>
            <w:tcW w:type="dxa" w:w="24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Parallelbetrieb</w:t>
            </w:r>
          </w:p>
        </w:tc>
        <w:tc>
          <w:tcPr>
            <w:tcW w:type="dxa" w:w="3213"/>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sicher, direkter Vergleich</w:t>
            </w:r>
          </w:p>
        </w:tc>
        <w:tc>
          <w:tcPr>
            <w:tcW w:type="dxa" w:w="3413"/>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doppelter Aufwand, Datenabgleich</w:t>
            </w:r>
          </w:p>
        </w:tc>
      </w:tr>
      <w:tr>
        <w:tc>
          <w:tcPr>
            <w:tcW w:type="dxa" w:w="2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Schrittweise / Pilot</w:t>
            </w:r>
          </w:p>
        </w:tc>
        <w:tc>
          <w:tcPr>
            <w:tcW w:type="dxa" w:w="32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Risiko gestreut, aus Fehlern lernen</w:t>
            </w:r>
          </w:p>
        </w:tc>
        <w:tc>
          <w:tcPr>
            <w:tcW w:type="dxa" w:w="3413"/>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länger, Übergangszustände</w:t>
            </w:r>
          </w:p>
        </w:tc>
      </w:tr>
    </w:tbl>
    <w:p>
      <w:pPr>
        <w:spacing w:after="120" w:before="120" w:line="276"/>
      </w:pPr>
      <w:r>
        <w:rPr>
          <w:rFonts w:ascii="Calibri" w:cs="Calibri" w:eastAsia="Calibri" w:hAnsi="Calibri"/>
          <w:color w:val="1A1A1A"/>
          <w:sz w:val="21"/>
          <w:szCs w:val="21"/>
        </w:rPr>
        <w:t xml:space="preserve">Für Nordfracht bietet sich ein schrittweiser Ansatz mit Pilotgruppe an: erst wenige Fahrer und ein Disponent, dann der Rest. So bleibt der Betrieb handlungsfähig, falls etwas nicht funktioniert.</w:t>
      </w:r>
    </w:p>
    <w:p>
      <w:pPr>
        <w:pStyle w:val="Heading1"/>
        <w:pBdr>
          <w:bottom w:val="single" w:color="F0A500" w:sz="12" w:space="4"/>
        </w:pBdr>
        <w:spacing w:after="180" w:before="360"/>
      </w:pPr>
      <w:r>
        <w:rPr>
          <w:rFonts w:ascii="Calibri" w:cs="Calibri" w:eastAsia="Calibri" w:hAnsi="Calibri"/>
          <w:b/>
          <w:bCs/>
          <w:color w:val="003366"/>
          <w:sz w:val="30"/>
          <w:szCs w:val="30"/>
        </w:rPr>
        <w:t xml:space="preserve">5  Umsetzen und absichern</w:t>
      </w:r>
    </w:p>
    <w:p>
      <w:pPr>
        <w:spacing w:after="120" w:before="0" w:line="276"/>
      </w:pPr>
      <w:r>
        <w:rPr>
          <w:rFonts w:ascii="Calibri" w:cs="Calibri" w:eastAsia="Calibri" w:hAnsi="Calibri"/>
          <w:color w:val="1A1A1A"/>
          <w:sz w:val="21"/>
          <w:szCs w:val="21"/>
        </w:rPr>
        <w:t xml:space="preserve">Jetzt wird die Zielumgebung tatsächlich aufgebaut:</w:t>
      </w:r>
    </w:p>
    <w:p>
      <w:pPr>
        <w:pStyle w:val="ListParagraph"/>
        <w:numPr>
          <w:ilvl w:val="0"/>
          <w:numId w:val="2"/>
        </w:numPr>
        <w:spacing w:after="70" w:line="270"/>
      </w:pPr>
      <w:r>
        <w:rPr>
          <w:rFonts w:ascii="Calibri" w:cs="Calibri" w:eastAsia="Calibri" w:hAnsi="Calibri"/>
          <w:color w:val="1A1A1A"/>
          <w:sz w:val="21"/>
          <w:szCs w:val="21"/>
        </w:rPr>
        <w:t xml:space="preserve">Server aufsetzen (physisch, virtuell oder als Container), Betriebssystem und Dienste installieren und konfigurieren.</w:t>
      </w:r>
    </w:p>
    <w:p>
      <w:pPr>
        <w:pStyle w:val="ListParagraph"/>
        <w:numPr>
          <w:ilvl w:val="0"/>
          <w:numId w:val="2"/>
        </w:numPr>
        <w:spacing w:after="70" w:line="270"/>
      </w:pPr>
      <w:r>
        <w:rPr>
          <w:rFonts w:ascii="Calibri" w:cs="Calibri" w:eastAsia="Calibri" w:hAnsi="Calibri"/>
          <w:color w:val="1A1A1A"/>
          <w:sz w:val="21"/>
          <w:szCs w:val="21"/>
        </w:rPr>
        <w:t xml:space="preserve">Netz nach IP-Konzept einrichten: VLANs, Routing, Firewall-Regeln.</w:t>
      </w:r>
    </w:p>
    <w:p>
      <w:pPr>
        <w:pStyle w:val="ListParagraph"/>
        <w:numPr>
          <w:ilvl w:val="0"/>
          <w:numId w:val="2"/>
        </w:numPr>
        <w:spacing w:after="70" w:line="270"/>
      </w:pPr>
      <w:r>
        <w:rPr>
          <w:rFonts w:ascii="Calibri" w:cs="Calibri" w:eastAsia="Calibri" w:hAnsi="Calibri"/>
          <w:color w:val="1A1A1A"/>
          <w:sz w:val="21"/>
          <w:szCs w:val="21"/>
        </w:rPr>
        <w:t xml:space="preserve">Anwendung ausrollen und mit der Datenbank verbinden.</w:t>
      </w:r>
    </w:p>
    <w:p>
      <w:pPr>
        <w:spacing w:after="120" w:before="60" w:line="276"/>
      </w:pPr>
      <w:r>
        <w:rPr>
          <w:rFonts w:ascii="Calibri" w:cs="Calibri" w:eastAsia="Calibri" w:hAnsi="Calibri"/>
          <w:color w:val="1A1A1A"/>
          <w:sz w:val="21"/>
          <w:szCs w:val="21"/>
        </w:rPr>
        <w:t xml:space="preserve">Sicherheit ist dabei kein letzter Schritt, sondern läuft mit:</w:t>
      </w:r>
    </w:p>
    <w:p>
      <w:pPr>
        <w:pStyle w:val="ListParagraph"/>
        <w:numPr>
          <w:ilvl w:val="0"/>
          <w:numId w:val="2"/>
        </w:numPr>
        <w:spacing w:after="70" w:line="270"/>
      </w:pPr>
      <w:r>
        <w:rPr>
          <w:rFonts w:ascii="Calibri" w:cs="Calibri" w:eastAsia="Calibri" w:hAnsi="Calibri"/>
          <w:color w:val="1A1A1A"/>
          <w:sz w:val="21"/>
          <w:szCs w:val="21"/>
        </w:rPr>
        <w:t xml:space="preserve">Berechtigungen nach dem Prinzip der minimalen Rechte vergeben.</w:t>
      </w:r>
    </w:p>
    <w:p>
      <w:pPr>
        <w:pStyle w:val="ListParagraph"/>
        <w:numPr>
          <w:ilvl w:val="0"/>
          <w:numId w:val="2"/>
        </w:numPr>
        <w:spacing w:after="70" w:line="270"/>
      </w:pPr>
      <w:r>
        <w:rPr>
          <w:rFonts w:ascii="Calibri" w:cs="Calibri" w:eastAsia="Calibri" w:hAnsi="Calibri"/>
          <w:color w:val="1A1A1A"/>
          <w:sz w:val="21"/>
          <w:szCs w:val="21"/>
        </w:rPr>
        <w:t xml:space="preserve">Backup einrichten und die Wiederherstellung testen.</w:t>
      </w:r>
    </w:p>
    <w:p>
      <w:pPr>
        <w:pStyle w:val="ListParagraph"/>
        <w:numPr>
          <w:ilvl w:val="0"/>
          <w:numId w:val="2"/>
        </w:numPr>
        <w:spacing w:after="70" w:line="270"/>
      </w:pPr>
      <w:r>
        <w:rPr>
          <w:rFonts w:ascii="Calibri" w:cs="Calibri" w:eastAsia="Calibri" w:hAnsi="Calibri"/>
          <w:color w:val="1A1A1A"/>
          <w:sz w:val="21"/>
          <w:szCs w:val="21"/>
        </w:rPr>
        <w:t xml:space="preserve">System härten: nicht benötigte Dienste abschalten, Updates einspielen.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20"/>
              <w:left w:type="dxa" w:w="160"/>
              <w:bottom w:type="dxa" w:w="120"/>
              <w:right w:type="dxa" w:w="160"/>
            </w:tcMar>
          </w:tcPr>
          <w:p>
            <w:pPr>
              <w:spacing w:after="60"/>
            </w:pPr>
            <w:r>
              <w:rPr>
                <w:rFonts w:ascii="Calibri" w:cs="Calibri" w:eastAsia="Calibri" w:hAnsi="Calibri"/>
                <w:b/>
                <w:bCs/>
                <w:color w:val="1B5E20"/>
                <w:sz w:val="21"/>
                <w:szCs w:val="21"/>
              </w:rPr>
              <w:t xml:space="preserve">Merksatz</w:t>
            </w:r>
          </w:p>
          <w:p>
            <w:pPr>
              <w:spacing w:after="40" w:line="264"/>
            </w:pPr>
            <w:r>
              <w:rPr>
                <w:rFonts w:ascii="Calibri" w:cs="Calibri" w:eastAsia="Calibri" w:hAnsi="Calibri"/>
                <w:color w:val="1A1A1A"/>
                <w:sz w:val="20"/>
                <w:szCs w:val="20"/>
              </w:rPr>
              <w:t xml:space="preserve">Ein Backup, das nie zurückgespielt wurde, ist kein Backup, sondern eine Hoffnung.</w:t>
            </w:r>
          </w:p>
        </w:tc>
      </w:tr>
    </w:tbl>
    <w:p>
      <w:pPr>
        <w:pStyle w:val="Heading1"/>
        <w:pBdr>
          <w:bottom w:val="single" w:color="F0A500" w:sz="12" w:space="4"/>
        </w:pBdr>
        <w:spacing w:after="180" w:before="360"/>
      </w:pPr>
      <w:r>
        <w:rPr>
          <w:rFonts w:ascii="Calibri" w:cs="Calibri" w:eastAsia="Calibri" w:hAnsi="Calibri"/>
          <w:b/>
          <w:bCs/>
          <w:color w:val="003366"/>
          <w:sz w:val="30"/>
          <w:szCs w:val="30"/>
        </w:rPr>
        <w:t xml:space="preserve">6  Technischer Test und Abnahme</w:t>
      </w:r>
    </w:p>
    <w:p>
      <w:pPr>
        <w:spacing w:after="120" w:before="0" w:line="276"/>
      </w:pPr>
      <w:r>
        <w:rPr>
          <w:rFonts w:ascii="Calibri" w:cs="Calibri" w:eastAsia="Calibri" w:hAnsi="Calibri"/>
          <w:color w:val="1A1A1A"/>
          <w:sz w:val="21"/>
          <w:szCs w:val="21"/>
        </w:rPr>
        <w:t xml:space="preserve">Vor dem Rollout wird geprüft, ob die Zielumgebung die Anforderungen erfüllt.</w:t>
      </w:r>
    </w:p>
    <w:p>
      <w:pPr>
        <w:pStyle w:val="ListParagraph"/>
        <w:numPr>
          <w:ilvl w:val="0"/>
          <w:numId w:val="2"/>
        </w:numPr>
        <w:spacing w:after="70" w:line="270"/>
      </w:pPr>
      <w:r>
        <w:rPr>
          <w:rFonts w:ascii="Calibri" w:cs="Calibri" w:eastAsia="Calibri" w:hAnsi="Calibri"/>
          <w:color w:val="1A1A1A"/>
          <w:sz w:val="21"/>
          <w:szCs w:val="21"/>
        </w:rPr>
        <w:t xml:space="preserve">Funktionstest: Erreichen alle Clients die Anwendung? Läuft die Datenbankverbindung?</w:t>
      </w:r>
    </w:p>
    <w:p>
      <w:pPr>
        <w:pStyle w:val="ListParagraph"/>
        <w:numPr>
          <w:ilvl w:val="0"/>
          <w:numId w:val="2"/>
        </w:numPr>
        <w:spacing w:after="70" w:line="270"/>
      </w:pPr>
      <w:r>
        <w:rPr>
          <w:rFonts w:ascii="Calibri" w:cs="Calibri" w:eastAsia="Calibri" w:hAnsi="Calibri"/>
          <w:color w:val="1A1A1A"/>
          <w:sz w:val="21"/>
          <w:szCs w:val="21"/>
        </w:rPr>
        <w:t xml:space="preserve">Lasttest: Hält das System die erwartete Zahl gleichzeitiger Zugriffe aus?</w:t>
      </w:r>
    </w:p>
    <w:p>
      <w:pPr>
        <w:pStyle w:val="ListParagraph"/>
        <w:numPr>
          <w:ilvl w:val="0"/>
          <w:numId w:val="2"/>
        </w:numPr>
        <w:spacing w:after="70" w:line="270"/>
      </w:pPr>
      <w:r>
        <w:rPr>
          <w:rFonts w:ascii="Calibri" w:cs="Calibri" w:eastAsia="Calibri" w:hAnsi="Calibri"/>
          <w:color w:val="1A1A1A"/>
          <w:sz w:val="21"/>
          <w:szCs w:val="21"/>
        </w:rPr>
        <w:t xml:space="preserve">Sicherheitstest: Greifen Firewall-Regeln und Berechtigungen wie geplant?</w:t>
      </w:r>
    </w:p>
    <w:p>
      <w:pPr>
        <w:pStyle w:val="ListParagraph"/>
        <w:numPr>
          <w:ilvl w:val="0"/>
          <w:numId w:val="2"/>
        </w:numPr>
        <w:spacing w:after="70" w:line="270"/>
      </w:pPr>
      <w:r>
        <w:rPr>
          <w:rFonts w:ascii="Calibri" w:cs="Calibri" w:eastAsia="Calibri" w:hAnsi="Calibri"/>
          <w:color w:val="1A1A1A"/>
          <w:sz w:val="21"/>
          <w:szCs w:val="21"/>
        </w:rPr>
        <w:t xml:space="preserve">Wiederherstellungstest: Lässt sich aus dem Backup zurückspielen?</w:t>
      </w:r>
    </w:p>
    <w:p>
      <w:pPr>
        <w:spacing w:after="120" w:before="60" w:line="276"/>
      </w:pPr>
      <w:r>
        <w:rPr>
          <w:rFonts w:ascii="Calibri" w:cs="Calibri" w:eastAsia="Calibri" w:hAnsi="Calibri"/>
          <w:color w:val="1A1A1A"/>
          <w:sz w:val="21"/>
          <w:szCs w:val="21"/>
        </w:rPr>
        <w:t xml:space="preserve">Jedes Abnahmekriterium ist auf eine Anforderung aus dem Pflichtenheft zurückführbar.</w:t>
      </w:r>
    </w:p>
    <w:p>
      <w:pPr>
        <w:pStyle w:val="Heading1"/>
        <w:pBdr>
          <w:bottom w:val="single" w:color="F0A500" w:sz="12" w:space="4"/>
        </w:pBdr>
        <w:spacing w:after="180" w:before="360"/>
      </w:pPr>
      <w:r>
        <w:rPr>
          <w:rFonts w:ascii="Calibri" w:cs="Calibri" w:eastAsia="Calibri" w:hAnsi="Calibri"/>
          <w:b/>
          <w:bCs/>
          <w:color w:val="003366"/>
          <w:sz w:val="30"/>
          <w:szCs w:val="30"/>
        </w:rPr>
        <w:t xml:space="preserve">7  Rollout und Cutover</w:t>
      </w:r>
    </w:p>
    <w:p>
      <w:pPr>
        <w:spacing w:after="120" w:before="0" w:line="276"/>
      </w:pPr>
      <w:r>
        <w:rPr>
          <w:rFonts w:ascii="Calibri" w:cs="Calibri" w:eastAsia="Calibri" w:hAnsi="Calibri"/>
          <w:color w:val="1A1A1A"/>
          <w:sz w:val="21"/>
          <w:szCs w:val="21"/>
        </w:rPr>
        <w:t xml:space="preserve">Der Rollout ist die geordnete Inbetriebnahme. Ein Cutover-Termin wird festgelegt (möglichst in einer betrieblich ruhigen Zeit), die Daten werden final übernommen und abgeglichen, die Clients umgestellt und die Anwender kurz eingewiesen. Danach wird der Betrieb beobachtet und Ansprechpartner stehen bereit.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Rückfallebene</w:t>
            </w:r>
          </w:p>
          <w:p>
            <w:pPr>
              <w:spacing w:after="40" w:line="264"/>
            </w:pPr>
            <w:r>
              <w:rPr>
                <w:rFonts w:ascii="Calibri" w:cs="Calibri" w:eastAsia="Calibri" w:hAnsi="Calibri"/>
                <w:color w:val="1A1A1A"/>
                <w:sz w:val="20"/>
                <w:szCs w:val="20"/>
              </w:rPr>
              <w:t xml:space="preserve">Vor dem Cutover: ein vollständiges Backup des Ausgangszustands.</w:t>
            </w:r>
          </w:p>
          <w:p>
            <w:pPr>
              <w:spacing w:after="40" w:line="264"/>
            </w:pPr>
            <w:r>
              <w:rPr>
                <w:rFonts w:ascii="Calibri" w:cs="Calibri" w:eastAsia="Calibri" w:hAnsi="Calibri"/>
                <w:color w:val="1A1A1A"/>
                <w:sz w:val="20"/>
                <w:szCs w:val="20"/>
              </w:rPr>
              <w:t xml:space="preserve">Ein Rollback-Plan beschreibt, wie man zum Ausgangszustand zurückkehrt, wenn es schiefgeht.</w:t>
            </w:r>
          </w:p>
          <w:p>
            <w:pPr>
              <w:spacing w:after="40" w:line="264"/>
            </w:pPr>
            <w:r>
              <w:rPr>
                <w:rFonts w:ascii="Calibri" w:cs="Calibri" w:eastAsia="Calibri" w:hAnsi="Calibri"/>
                <w:color w:val="1A1A1A"/>
                <w:sz w:val="20"/>
                <w:szCs w:val="20"/>
              </w:rPr>
              <w:t xml:space="preserve">Klare Abbruchkriterien legen fest, wann zurückgerollt wird. Ohne Rückfallebene kein Rollout.</w:t>
            </w:r>
          </w:p>
        </w:tc>
      </w:tr>
    </w:tbl>
    <w:p>
      <w:pPr>
        <w:pStyle w:val="Heading1"/>
        <w:pBdr>
          <w:bottom w:val="single" w:color="F0A500" w:sz="12" w:space="4"/>
        </w:pBdr>
        <w:spacing w:after="180" w:before="360"/>
      </w:pPr>
      <w:r>
        <w:rPr>
          <w:rFonts w:ascii="Calibri" w:cs="Calibri" w:eastAsia="Calibri" w:hAnsi="Calibri"/>
          <w:b/>
          <w:bCs/>
          <w:color w:val="003366"/>
          <w:sz w:val="30"/>
          <w:szCs w:val="30"/>
        </w:rPr>
        <w:t xml:space="preserve">8  Zusammenfassung</w:t>
      </w:r>
    </w:p>
    <w:p>
      <w:pPr>
        <w:pStyle w:val="ListParagraph"/>
        <w:numPr>
          <w:ilvl w:val="0"/>
          <w:numId w:val="2"/>
        </w:numPr>
        <w:spacing w:after="70" w:line="270"/>
      </w:pPr>
      <w:r>
        <w:rPr>
          <w:rFonts w:ascii="Calibri" w:cs="Calibri" w:eastAsia="Calibri" w:hAnsi="Calibri"/>
          <w:color w:val="1A1A1A"/>
          <w:sz w:val="21"/>
          <w:szCs w:val="21"/>
        </w:rPr>
        <w:t xml:space="preserve">Umsetzung führt geordnet von der bestehenden Lage zur neuen Infrastruktur.</w:t>
      </w:r>
    </w:p>
    <w:p>
      <w:pPr>
        <w:pStyle w:val="ListParagraph"/>
        <w:numPr>
          <w:ilvl w:val="0"/>
          <w:numId w:val="2"/>
        </w:numPr>
        <w:spacing w:after="70" w:line="270"/>
      </w:pPr>
      <w:r>
        <w:rPr>
          <w:rFonts w:ascii="Calibri" w:cs="Calibri" w:eastAsia="Calibri" w:hAnsi="Calibri"/>
          <w:color w:val="1A1A1A"/>
          <w:sz w:val="21"/>
          <w:szCs w:val="21"/>
        </w:rPr>
        <w:t xml:space="preserve">Die Ist-Analyse steht vor allem anderen.</w:t>
      </w:r>
    </w:p>
    <w:p>
      <w:pPr>
        <w:pStyle w:val="ListParagraph"/>
        <w:numPr>
          <w:ilvl w:val="0"/>
          <w:numId w:val="2"/>
        </w:numPr>
        <w:spacing w:after="70" w:line="270"/>
      </w:pPr>
      <w:r>
        <w:rPr>
          <w:rFonts w:ascii="Calibri" w:cs="Calibri" w:eastAsia="Calibri" w:hAnsi="Calibri"/>
          <w:color w:val="1A1A1A"/>
          <w:sz w:val="21"/>
          <w:szCs w:val="21"/>
        </w:rPr>
        <w:t xml:space="preserve">Soll- und IP-/Netzkonzept legen die Zielumgebung fest.</w:t>
      </w:r>
    </w:p>
    <w:p>
      <w:pPr>
        <w:pStyle w:val="ListParagraph"/>
        <w:numPr>
          <w:ilvl w:val="0"/>
          <w:numId w:val="2"/>
        </w:numPr>
        <w:spacing w:after="70" w:line="270"/>
      </w:pPr>
      <w:r>
        <w:rPr>
          <w:rFonts w:ascii="Calibri" w:cs="Calibri" w:eastAsia="Calibri" w:hAnsi="Calibri"/>
          <w:color w:val="1A1A1A"/>
          <w:sz w:val="21"/>
          <w:szCs w:val="21"/>
        </w:rPr>
        <w:t xml:space="preserve">Die Migrationsstrategie wird nach Risiko und Betriebsfähigkeit gewählt.</w:t>
      </w:r>
    </w:p>
    <w:p>
      <w:pPr>
        <w:pStyle w:val="ListParagraph"/>
        <w:numPr>
          <w:ilvl w:val="0"/>
          <w:numId w:val="2"/>
        </w:numPr>
        <w:spacing w:after="70" w:line="270"/>
      </w:pPr>
      <w:r>
        <w:rPr>
          <w:rFonts w:ascii="Calibri" w:cs="Calibri" w:eastAsia="Calibri" w:hAnsi="Calibri"/>
          <w:color w:val="1A1A1A"/>
          <w:sz w:val="21"/>
          <w:szCs w:val="21"/>
        </w:rPr>
        <w:t xml:space="preserve">Absichern und Testen gehören zur Umsetzung, nicht danach.</w:t>
      </w:r>
    </w:p>
    <w:p>
      <w:pPr>
        <w:pStyle w:val="ListParagraph"/>
        <w:numPr>
          <w:ilvl w:val="0"/>
          <w:numId w:val="2"/>
        </w:numPr>
        <w:spacing w:after="70" w:line="270"/>
      </w:pPr>
      <w:r>
        <w:rPr>
          <w:rFonts w:ascii="Calibri" w:cs="Calibri" w:eastAsia="Calibri" w:hAnsi="Calibri"/>
          <w:color w:val="1A1A1A"/>
          <w:sz w:val="21"/>
          <w:szCs w:val="21"/>
        </w:rPr>
        <w:t xml:space="preserve">Kein Rollout ohne Backup und Rückfallebene.</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6" w:space="4"/>
      </w:pBdr>
      <w:tabs>
        <w:tab w:val="right" w:pos="9026"/>
      </w:tabs>
    </w:pPr>
    <w:r>
      <w:rPr>
        <w:rFonts w:ascii="Calibri" w:cs="Calibri" w:eastAsia="Calibri" w:hAnsi="Calibri"/>
        <w:color w:val="666666"/>
        <w:sz w:val="18"/>
        <w:szCs w:val="18"/>
      </w:rPr>
      <w:t xml:space="preserve">[Name]</w:t>
    </w:r>
    <w:r>
      <w:rPr>
        <w:rFonts w:ascii="Calibri" w:cs="Calibri" w:eastAsia="Calibri" w:hAnsi="Calibri"/>
        <w:color w:val="666666"/>
        <w:sz w:val="18"/>
        <w:szCs w:val="18"/>
      </w:rPr>
      <w:t xml:space="preserve">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tabs>
        <w:tab w:val="right" w:pos="9026"/>
      </w:tabs>
    </w:pPr>
    <w:r>
      <w:rPr>
        <w:rFonts w:ascii="Calibri" w:cs="Calibri" w:eastAsia="Calibri" w:hAnsi="Calibri"/>
        <w:color w:val="0066AA"/>
        <w:sz w:val="18"/>
        <w:szCs w:val="18"/>
      </w:rPr>
      <w:t xml:space="preserve">Handout E4 (FISI) · Umsetzung der Infrastruktur</w:t>
    </w:r>
    <w:r>
      <w:rPr>
        <w:rFonts w:ascii="Calibri" w:cs="Calibri" w:eastAsia="Calibri" w:hAnsi="Calibri"/>
        <w:color w:val="0066AA"/>
        <w:sz w:val="18"/>
        <w:szCs w:val="18"/>
      </w:rPr>
      <w:t xml:space="preserve">	bfw Lübeck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0066A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Handout E4 FISI</dc:title>
  <dc:creator>bfw Lübeck</dc:creator>
  <cp:lastModifiedBy>Un-named</cp:lastModifiedBy>
  <cp:revision>1</cp:revision>
  <dcterms:created xsi:type="dcterms:W3CDTF">2026-07-27T18:11:56.439Z</dcterms:created>
  <dcterms:modified xsi:type="dcterms:W3CDTF">2026-07-27T18:11:56.440Z</dcterms:modified>
</cp:coreProperties>
</file>

<file path=docProps/custom.xml><?xml version="1.0" encoding="utf-8"?>
<Properties xmlns="http://schemas.openxmlformats.org/officeDocument/2006/custom-properties" xmlns:vt="http://schemas.openxmlformats.org/officeDocument/2006/docPropsVTypes"/>
</file>