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w:t>
      </w:r>
    </w:p>
    <w:p>
      <w:pPr>
        <w:pBdr>
          <w:bottom w:val="single" w:color="F0A500" w:sz="18" w:space="6"/>
        </w:pBdr>
        <w:spacing w:after="60"/>
      </w:pPr>
      <w:r>
        <w:rPr>
          <w:rFonts w:ascii="Calibri" w:cs="Calibri" w:eastAsia="Calibri" w:hAnsi="Calibri"/>
          <w:b/>
          <w:bCs/>
          <w:color w:val="003366"/>
          <w:sz w:val="32"/>
          <w:szCs w:val="32"/>
        </w:rPr>
        <w:t xml:space="preserve">Handout E2 — Angebot, Kalkulation und Wirtschaftlichkeit</w:t>
      </w:r>
    </w:p>
    <w:p>
      <w:pPr>
        <w:spacing w:after="240" w:before="120" w:line="276"/>
      </w:pPr>
      <w:r>
        <w:rPr>
          <w:rFonts w:ascii="Calibri" w:cs="Calibri" w:eastAsia="Calibri" w:hAnsi="Calibri"/>
          <w:i/>
          <w:iCs/>
          <w:color w:val="444444"/>
          <w:sz w:val="24"/>
          <w:szCs w:val="24"/>
        </w:rPr>
        <w:t xml:space="preserve">Aus Anforderungen wird ein kalkuliertes Angebot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Wert</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Etappe</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E2 im Lernfeld 12</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Fachrichtung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FIAE und FISI gemeinsam</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Umfang</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60 UE</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Voraussetzung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Pflichtenheft aus E1</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Ergebnis</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kalkuliertes, verbindliches Angebot</w:t>
            </w:r>
          </w:p>
        </w:tc>
      </w:tr>
    </w:tbl>
    <w:p>
      <w:pPr>
        <w:spacing w:after="80" w:before="240"/>
      </w:pPr>
      <w:r>
        <w:rPr>
          <w:rFonts w:ascii="Calibri" w:cs="Calibri" w:eastAsia="Calibri" w:hAnsi="Calibri"/>
          <w:b/>
          <w:bCs/>
          <w:color w:val="003366"/>
          <w:sz w:val="24"/>
          <w:szCs w:val="24"/>
        </w:rPr>
        <w:t xml:space="preserve">Inhalt</w:t>
      </w:r>
    </w:p>
    <w:sdt>
      <w:sdtPr>
        <w:alias w:val="Inhalt"/>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1  Von den Anforderungen zum Angebot</w:t>
      </w:r>
    </w:p>
    <w:p>
      <w:pPr>
        <w:spacing w:after="120" w:before="0" w:line="276"/>
      </w:pPr>
      <w:r>
        <w:rPr>
          <w:rFonts w:ascii="Calibri" w:cs="Calibri" w:eastAsia="Calibri" w:hAnsi="Calibri"/>
          <w:color w:val="1A1A1A"/>
          <w:sz w:val="21"/>
          <w:szCs w:val="21"/>
        </w:rPr>
        <w:t xml:space="preserve">In Etappe 1 haben Sie erhoben, was der Kunde braucht — das Pflichtenheft steht. Jetzt beantworten Sie die zweite Frage, die jeder Auftrag stellt: Was kostet die Umsetzung, und lohnt sie sich? Aus dem Pflichtenheft wird ein kalkuliertes, verbindliches Angebot.</w:t>
      </w:r>
    </w:p>
    <w:p>
      <w:pPr>
        <w:spacing w:after="120" w:before="0" w:line="276"/>
      </w:pPr>
      <w:r>
        <w:rPr>
          <w:rFonts w:ascii="Calibri" w:cs="Calibri" w:eastAsia="Calibri" w:hAnsi="Calibri"/>
          <w:color w:val="1A1A1A"/>
          <w:sz w:val="21"/>
          <w:szCs w:val="21"/>
        </w:rPr>
        <w:t xml:space="preserve">Diese Etappe ist unbequem, weil sie Sie zwingt, Unsicheres in Zahlen zu fassen. Aber genau daran entscheidet sich der wirtschaftliche Erfolg: Wer zu niedrig kalkuliert, arbeitet am Ende umsonst oder zahlt drauf. Wer zu hoch anbietet, bekommt den Auftrag nicht.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Der Weg dieser Etappe</w:t>
            </w:r>
          </w:p>
          <w:p>
            <w:pPr>
              <w:spacing w:after="40" w:line="264"/>
            </w:pPr>
            <w:r>
              <w:rPr>
                <w:rFonts w:ascii="Calibri" w:cs="Calibri" w:eastAsia="Calibri" w:hAnsi="Calibri"/>
                <w:color w:val="1A1A1A"/>
                <w:sz w:val="20"/>
                <w:szCs w:val="20"/>
              </w:rPr>
              <w:t xml:space="preserve">Pflichtenheft → Aufwand schätzen → Kosten ermitteln → Preis bilden → Wirtschaftlichkeit prüfen → Angebot erstellen.</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2  Aufwand schätzen</w:t>
      </w:r>
    </w:p>
    <w:p>
      <w:pPr>
        <w:spacing w:after="120" w:before="0" w:line="276"/>
      </w:pPr>
      <w:r>
        <w:rPr>
          <w:rFonts w:ascii="Calibri" w:cs="Calibri" w:eastAsia="Calibri" w:hAnsi="Calibri"/>
          <w:color w:val="1A1A1A"/>
          <w:sz w:val="21"/>
          <w:szCs w:val="21"/>
        </w:rPr>
        <w:t xml:space="preserve">Bevor Sie rechnen können, müssen Sie wissen, wie viel Arbeit im Projekt steckt. Der Aufwand wird meist in Personentagen (PT) angegeben. Drei Methoden sind gängig:</w:t>
      </w:r>
    </w:p>
    <w:p>
      <w:pPr>
        <w:pStyle w:val="Heading2"/>
        <w:spacing w:after="120" w:before="280"/>
      </w:pPr>
      <w:r>
        <w:rPr>
          <w:rFonts w:ascii="Calibri" w:cs="Calibri" w:eastAsia="Calibri" w:hAnsi="Calibri"/>
          <w:b/>
          <w:bCs/>
          <w:color w:val="0066AA"/>
          <w:sz w:val="24"/>
          <w:szCs w:val="24"/>
        </w:rPr>
        <w:t xml:space="preserve">2.1  Analogieschätzung</w:t>
      </w:r>
    </w:p>
    <w:p>
      <w:pPr>
        <w:spacing w:after="120" w:before="0" w:line="276"/>
      </w:pPr>
      <w:r>
        <w:rPr>
          <w:rFonts w:ascii="Calibri" w:cs="Calibri" w:eastAsia="Calibri" w:hAnsi="Calibri"/>
          <w:color w:val="1A1A1A"/>
          <w:sz w:val="21"/>
          <w:szCs w:val="21"/>
        </w:rPr>
        <w:t xml:space="preserve">Sie vergleichen das Projekt mit ähnlichen, bereits abgeschlossenen Vorhaben. Das geht schnell, ist aber nur so gut wie Ihre Vergleichsbasis — und setzt voraus, dass Sie überhaupt vergleichbare Projekte dokumentiert haben.</w:t>
      </w:r>
    </w:p>
    <w:p>
      <w:pPr>
        <w:pStyle w:val="Heading2"/>
        <w:spacing w:after="120" w:before="280"/>
      </w:pPr>
      <w:r>
        <w:rPr>
          <w:rFonts w:ascii="Calibri" w:cs="Calibri" w:eastAsia="Calibri" w:hAnsi="Calibri"/>
          <w:b/>
          <w:bCs/>
          <w:color w:val="0066AA"/>
          <w:sz w:val="24"/>
          <w:szCs w:val="24"/>
        </w:rPr>
        <w:t xml:space="preserve">2.2  Experten- und Drei-Punkt-Schätzung</w:t>
      </w:r>
    </w:p>
    <w:p>
      <w:pPr>
        <w:spacing w:after="120" w:before="0" w:line="276"/>
      </w:pPr>
      <w:r>
        <w:rPr>
          <w:rFonts w:ascii="Calibri" w:cs="Calibri" w:eastAsia="Calibri" w:hAnsi="Calibri"/>
          <w:color w:val="1A1A1A"/>
          <w:sz w:val="21"/>
          <w:szCs w:val="21"/>
        </w:rPr>
        <w:t xml:space="preserve">Fachleute schätzen jeden Arbeitsschritt in drei Werten: optimistisch (o), wahrscheinlich (w) und pessimistisch (p). Daraus wird ein Erwartungswert berechnet: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66AA" w:sz="6"/>
              <w:left w:val="single" w:color="0066AA" w:sz="18"/>
              <w:bottom w:val="single" w:color="0066AA" w:sz="6"/>
              <w:right w:val="single" w:color="0066AA" w:sz="6"/>
            </w:tcBorders>
            <w:shd w:fill="EEF5FB" w:color="auto" w:val="clear"/>
            <w:tcMar>
              <w:top w:type="dxa" w:w="120"/>
              <w:left w:type="dxa" w:w="160"/>
              <w:bottom w:type="dxa" w:w="120"/>
              <w:right w:type="dxa" w:w="160"/>
            </w:tcMar>
          </w:tcPr>
          <w:p>
            <w:pPr>
              <w:spacing w:after="60"/>
            </w:pPr>
            <w:r>
              <w:rPr>
                <w:rFonts w:ascii="Calibri" w:cs="Calibri" w:eastAsia="Calibri" w:hAnsi="Calibri"/>
                <w:b/>
                <w:bCs/>
                <w:color w:val="003366"/>
                <w:sz w:val="21"/>
                <w:szCs w:val="21"/>
              </w:rPr>
              <w:t xml:space="preserve">Formel Drei-Punkt-Schätzung</w:t>
            </w:r>
          </w:p>
          <w:p>
            <w:pPr>
              <w:spacing w:after="40" w:line="264"/>
            </w:pPr>
            <w:r>
              <w:rPr>
                <w:rFonts w:ascii="Calibri" w:cs="Calibri" w:eastAsia="Calibri" w:hAnsi="Calibri"/>
                <w:color w:val="1A1A1A"/>
                <w:sz w:val="20"/>
                <w:szCs w:val="20"/>
              </w:rPr>
              <w:t xml:space="preserve">Erwartungswert = (o + 4·w + p) ÷ 6</w:t>
            </w:r>
          </w:p>
          <w:p>
            <w:pPr>
              <w:spacing w:after="40" w:line="264"/>
            </w:pPr>
            <w:r>
              <w:rPr>
                <w:rFonts w:ascii="Calibri" w:cs="Calibri" w:eastAsia="Calibri" w:hAnsi="Calibri"/>
                <w:color w:val="1A1A1A"/>
                <w:sz w:val="20"/>
                <w:szCs w:val="20"/>
              </w:rPr>
              <w:t xml:space="preserve">Beispiel: (4 + 4·6 + 14) ÷ 6 = 42 ÷ 6 = 7 PT</w:t>
            </w:r>
          </w:p>
        </w:tc>
      </w:tr>
    </w:tbl>
    <w:p>
      <w:pPr>
        <w:pStyle w:val="Heading2"/>
        <w:spacing w:after="120" w:before="280"/>
      </w:pPr>
      <w:r>
        <w:rPr>
          <w:rFonts w:ascii="Calibri" w:cs="Calibri" w:eastAsia="Calibri" w:hAnsi="Calibri"/>
          <w:b/>
          <w:bCs/>
          <w:color w:val="0066AA"/>
          <w:sz w:val="24"/>
          <w:szCs w:val="24"/>
        </w:rPr>
        <w:t xml:space="preserve">2.3  Function-Point-Methode</w:t>
      </w:r>
    </w:p>
    <w:p>
      <w:pPr>
        <w:spacing w:after="120" w:before="0" w:line="276"/>
      </w:pPr>
      <w:r>
        <w:rPr>
          <w:rFonts w:ascii="Calibri" w:cs="Calibri" w:eastAsia="Calibri" w:hAnsi="Calibri"/>
          <w:color w:val="1A1A1A"/>
          <w:sz w:val="21"/>
          <w:szCs w:val="21"/>
        </w:rPr>
        <w:t xml:space="preserve">Hier zählen Sie die Funktionen aus Nutzersicht (Eingaben, Ausgaben, Abfragen, Datenbestände), gewichten sie nach Komplexität und rechnen sie über einen Erfahrungswert in Aufwand um. Das ist aufwändiger, dafür nachvollziehbar und unabhängig von der eingesetzten Technik.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Wichtig</w:t>
            </w:r>
          </w:p>
          <w:p>
            <w:pPr>
              <w:spacing w:after="40" w:line="264"/>
            </w:pPr>
            <w:r>
              <w:rPr>
                <w:rFonts w:ascii="Calibri" w:cs="Calibri" w:eastAsia="Calibri" w:hAnsi="Calibri"/>
                <w:color w:val="1A1A1A"/>
                <w:sz w:val="20"/>
                <w:szCs w:val="20"/>
              </w:rPr>
              <w:t xml:space="preserve">Egal welche Methode: Planen Sie einen Puffer ein und dokumentieren Sie Ihre Schätzung. Eine Zahl ohne Begründung ist im Angebot wertlos und im Streitfall nicht haltbar.</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3  Kosten ermitteln</w:t>
      </w:r>
    </w:p>
    <w:p>
      <w:pPr>
        <w:spacing w:after="120" w:before="0" w:line="276"/>
      </w:pPr>
      <w:r>
        <w:rPr>
          <w:rFonts w:ascii="Calibri" w:cs="Calibri" w:eastAsia="Calibri" w:hAnsi="Calibri"/>
          <w:color w:val="1A1A1A"/>
          <w:sz w:val="21"/>
          <w:szCs w:val="21"/>
        </w:rPr>
        <w:t xml:space="preserve">Kosten lassen sich auf zwei Arten einteilen. Beide Sichtweisen brauchen Sie für die Kalkulation.</w:t>
      </w:r>
    </w:p>
    <w:p>
      <w:pPr>
        <w:pStyle w:val="Heading2"/>
        <w:spacing w:after="120" w:before="280"/>
      </w:pPr>
      <w:r>
        <w:rPr>
          <w:rFonts w:ascii="Calibri" w:cs="Calibri" w:eastAsia="Calibri" w:hAnsi="Calibri"/>
          <w:b/>
          <w:bCs/>
          <w:color w:val="0066AA"/>
          <w:sz w:val="24"/>
          <w:szCs w:val="24"/>
        </w:rPr>
        <w:t xml:space="preserve">3.1  Nach Zurechenbarkeit: Einzel- und Gemeinkosten</w:t>
      </w:r>
    </w:p>
    <w:p>
      <w:pPr>
        <w:pStyle w:val="ListParagraph"/>
        <w:numPr>
          <w:ilvl w:val="0"/>
          <w:numId w:val="2"/>
        </w:numPr>
        <w:spacing w:after="70" w:line="270"/>
      </w:pPr>
      <w:r>
        <w:rPr>
          <w:rFonts w:ascii="Calibri" w:cs="Calibri" w:eastAsia="Calibri" w:hAnsi="Calibri"/>
          <w:color w:val="1A1A1A"/>
          <w:sz w:val="21"/>
          <w:szCs w:val="21"/>
        </w:rPr>
        <w:t xml:space="preserve">Einzelkosten sind direkt einem Projekt zurechenbar — etwa die Arbeitszeit der Entwickler oder projektbezogene Lizenzen.</w:t>
      </w:r>
    </w:p>
    <w:p>
      <w:pPr>
        <w:pStyle w:val="ListParagraph"/>
        <w:numPr>
          <w:ilvl w:val="0"/>
          <w:numId w:val="2"/>
        </w:numPr>
        <w:spacing w:after="70" w:line="270"/>
      </w:pPr>
      <w:r>
        <w:rPr>
          <w:rFonts w:ascii="Calibri" w:cs="Calibri" w:eastAsia="Calibri" w:hAnsi="Calibri"/>
          <w:color w:val="1A1A1A"/>
          <w:sz w:val="21"/>
          <w:szCs w:val="21"/>
        </w:rPr>
        <w:t xml:space="preserve">Gemeinkosten fallen für den ganzen Betrieb an und lassen sich nicht direkt zurechnen — Miete, Verwaltung, Geschäftsleitung. Sie werden über einen prozentualen Zuschlag auf die Einzelkosten verteilt.</w:t>
      </w:r>
    </w:p>
    <w:p>
      <w:pPr>
        <w:pStyle w:val="Heading2"/>
        <w:spacing w:after="120" w:before="280"/>
      </w:pPr>
      <w:r>
        <w:rPr>
          <w:rFonts w:ascii="Calibri" w:cs="Calibri" w:eastAsia="Calibri" w:hAnsi="Calibri"/>
          <w:b/>
          <w:bCs/>
          <w:color w:val="0066AA"/>
          <w:sz w:val="24"/>
          <w:szCs w:val="24"/>
        </w:rPr>
        <w:t xml:space="preserve">3.2  Nach Art</w:t>
      </w:r>
    </w:p>
    <w:p>
      <w:pPr>
        <w:pStyle w:val="ListParagraph"/>
        <w:numPr>
          <w:ilvl w:val="0"/>
          <w:numId w:val="2"/>
        </w:numPr>
        <w:spacing w:after="70" w:line="270"/>
      </w:pPr>
      <w:r>
        <w:rPr>
          <w:rFonts w:ascii="Calibri" w:cs="Calibri" w:eastAsia="Calibri" w:hAnsi="Calibri"/>
          <w:color w:val="1A1A1A"/>
          <w:sz w:val="21"/>
          <w:szCs w:val="21"/>
        </w:rPr>
        <w:t xml:space="preserve">Personalkosten: bei IT-Projekten meist der größte Block. Personalkosten je Personentag ergeben den internen Tagessatz.</w:t>
      </w:r>
    </w:p>
    <w:p>
      <w:pPr>
        <w:pStyle w:val="ListParagraph"/>
        <w:numPr>
          <w:ilvl w:val="0"/>
          <w:numId w:val="2"/>
        </w:numPr>
        <w:spacing w:after="70" w:line="270"/>
      </w:pPr>
      <w:r>
        <w:rPr>
          <w:rFonts w:ascii="Calibri" w:cs="Calibri" w:eastAsia="Calibri" w:hAnsi="Calibri"/>
          <w:color w:val="1A1A1A"/>
          <w:sz w:val="21"/>
          <w:szCs w:val="21"/>
        </w:rPr>
        <w:t xml:space="preserve">Materialkosten: Hardware, Softwarelizenzen, Cloud-Ressourcen.</w:t>
      </w:r>
    </w:p>
    <w:p>
      <w:pPr>
        <w:pStyle w:val="ListParagraph"/>
        <w:numPr>
          <w:ilvl w:val="0"/>
          <w:numId w:val="2"/>
        </w:numPr>
        <w:spacing w:after="70" w:line="270"/>
      </w:pPr>
      <w:r>
        <w:rPr>
          <w:rFonts w:ascii="Calibri" w:cs="Calibri" w:eastAsia="Calibri" w:hAnsi="Calibri"/>
          <w:color w:val="1A1A1A"/>
          <w:sz w:val="21"/>
          <w:szCs w:val="21"/>
        </w:rPr>
        <w:t xml:space="preserve">Fremdleistungen: extern zugekaufte Dienstleistungen.</w:t>
      </w:r>
    </w:p>
    <w:p>
      <w:pPr>
        <w:pStyle w:val="Heading1"/>
        <w:pBdr>
          <w:bottom w:val="single" w:color="F0A500" w:sz="12" w:space="4"/>
        </w:pBdr>
        <w:spacing w:after="180" w:before="360"/>
      </w:pPr>
      <w:r>
        <w:rPr>
          <w:rFonts w:ascii="Calibri" w:cs="Calibri" w:eastAsia="Calibri" w:hAnsi="Calibri"/>
          <w:b/>
          <w:bCs/>
          <w:color w:val="003366"/>
          <w:sz w:val="30"/>
          <w:szCs w:val="30"/>
        </w:rPr>
        <w:t xml:space="preserve">4  Vom Aufwand zum Preis: die Zuschlagskalkulation</w:t>
      </w:r>
    </w:p>
    <w:p>
      <w:pPr>
        <w:spacing w:after="120" w:before="0" w:line="276"/>
      </w:pPr>
      <w:r>
        <w:rPr>
          <w:rFonts w:ascii="Calibri" w:cs="Calibri" w:eastAsia="Calibri" w:hAnsi="Calibri"/>
          <w:color w:val="1A1A1A"/>
          <w:sz w:val="21"/>
          <w:szCs w:val="21"/>
        </w:rPr>
        <w:t xml:space="preserve">Die Zuschlagskalkulation baut den Angebotspreis Schritt für Schritt auf. Das Schema: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3600"/>
      </w:tblGrid>
      <w:tr>
        <w:trPr>
          <w:tblHeader/>
        </w:trPr>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Rechenschritt</w:t>
            </w:r>
          </w:p>
        </w:tc>
        <w:tc>
          <w:tcPr>
            <w:tcW w:type="dxa" w:w="3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Bedeutung</w:t>
            </w:r>
          </w:p>
        </w:tc>
      </w:tr>
      <w:tr>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Personaleinzelkosten</w:t>
            </w:r>
          </w:p>
        </w:tc>
        <w:tc>
          <w:tcPr>
            <w:tcW w:type="dxa" w:w="3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Aufwand × interner Tagessatz</w:t>
            </w:r>
          </w:p>
        </w:tc>
      </w:tr>
      <w:tr>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Materialeinzelkosten</w:t>
            </w:r>
          </w:p>
        </w:tc>
        <w:tc>
          <w:tcPr>
            <w:tcW w:type="dxa" w:w="3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Hardware, Lizenzen</w:t>
            </w:r>
          </w:p>
        </w:tc>
      </w:tr>
      <w:tr>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Gemeinkostenzuschlag</w:t>
            </w:r>
          </w:p>
        </w:tc>
        <w:tc>
          <w:tcPr>
            <w:tcW w:type="dxa" w:w="3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anteilige Gemeinkosten, in %</w:t>
            </w:r>
          </w:p>
        </w:tc>
      </w:tr>
      <w:tr>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 Selbstkosten</w:t>
            </w:r>
          </w:p>
        </w:tc>
        <w:tc>
          <w:tcPr>
            <w:tcW w:type="dxa" w:w="3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was das Projekt uns kostet</w:t>
            </w:r>
          </w:p>
        </w:tc>
      </w:tr>
      <w:tr>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Gewinnzuschlag</w:t>
            </w:r>
          </w:p>
        </w:tc>
        <w:tc>
          <w:tcPr>
            <w:tcW w:type="dxa" w:w="3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unser Verdienst, in %</w:t>
            </w:r>
          </w:p>
        </w:tc>
      </w:tr>
      <w:tr>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 Nettoangebotspreis</w:t>
            </w:r>
          </w:p>
        </w:tc>
        <w:tc>
          <w:tcPr>
            <w:tcW w:type="dxa" w:w="3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Preis ohne Steuer</w:t>
            </w:r>
          </w:p>
        </w:tc>
      </w:tr>
      <w:tr>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Umsatzsteuer</w:t>
            </w:r>
          </w:p>
        </w:tc>
        <w:tc>
          <w:tcPr>
            <w:tcW w:type="dxa" w:w="3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19 %</w:t>
            </w:r>
          </w:p>
        </w:tc>
      </w:tr>
      <w:tr>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 Bruttoangebotspreis</w:t>
            </w:r>
          </w:p>
        </w:tc>
        <w:tc>
          <w:tcPr>
            <w:tcW w:type="dxa" w:w="3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das zahlt der Kunde</w:t>
            </w:r>
          </w:p>
        </w:tc>
      </w:tr>
    </w:tbl>
    <w:p>
      <w:pPr>
        <w:pStyle w:val="Heading2"/>
        <w:spacing w:after="120" w:before="280"/>
      </w:pPr>
      <w:r>
        <w:rPr>
          <w:rFonts w:ascii="Calibri" w:cs="Calibri" w:eastAsia="Calibri" w:hAnsi="Calibri"/>
          <w:b/>
          <w:bCs/>
          <w:color w:val="0066AA"/>
          <w:sz w:val="24"/>
          <w:szCs w:val="24"/>
        </w:rPr>
        <w:t xml:space="preserve">4.1  Rechenbeispiel Nordfracht</w:t>
      </w:r>
    </w:p>
    <w:p>
      <w:pPr>
        <w:spacing w:after="120" w:before="0" w:line="276"/>
      </w:pPr>
      <w:r>
        <w:rPr>
          <w:rFonts w:ascii="Calibri" w:cs="Calibri" w:eastAsia="Calibri" w:hAnsi="Calibri"/>
          <w:color w:val="1A1A1A"/>
          <w:sz w:val="21"/>
          <w:szCs w:val="21"/>
        </w:rPr>
        <w:t xml:space="preserve">Für die digitale Tourenplanung schätzen wir 50 Personentage bei einem internen Tagessatz von 400 €.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26"/>
        <w:gridCol w:w="3000"/>
      </w:tblGrid>
      <w:tr>
        <w:trPr>
          <w:tblHeader/>
        </w:trPr>
        <w:tc>
          <w:tcPr>
            <w:tcW w:type="dxa" w:w="6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Position</w:t>
            </w:r>
          </w:p>
        </w:tc>
        <w:tc>
          <w:tcPr>
            <w:tcW w:type="dxa" w:w="3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Betrag</w:t>
            </w:r>
          </w:p>
        </w:tc>
      </w:tr>
      <w:tr>
        <w:tc>
          <w:tcPr>
            <w:tcW w:type="dxa" w:w="6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Personalkosten: 50 PT × 400 €</w:t>
            </w:r>
          </w:p>
        </w:tc>
        <w:tc>
          <w:tcPr>
            <w:tcW w:type="dxa" w:w="3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20.000 €</w:t>
            </w:r>
          </w:p>
        </w:tc>
      </w:tr>
      <w:tr>
        <w:tc>
          <w:tcPr>
            <w:tcW w:type="dxa" w:w="6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Materialkosten (Server, Lizenzen)</w:t>
            </w:r>
          </w:p>
        </w:tc>
        <w:tc>
          <w:tcPr>
            <w:tcW w:type="dxa" w:w="3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3.000 €</w:t>
            </w:r>
          </w:p>
        </w:tc>
      </w:tr>
      <w:tr>
        <w:tc>
          <w:tcPr>
            <w:tcW w:type="dxa" w:w="6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Gemeinkostenzuschlag 20 % auf Personal</w:t>
            </w:r>
          </w:p>
        </w:tc>
        <w:tc>
          <w:tcPr>
            <w:tcW w:type="dxa" w:w="3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4.000 €</w:t>
            </w:r>
          </w:p>
        </w:tc>
      </w:tr>
      <w:tr>
        <w:tc>
          <w:tcPr>
            <w:tcW w:type="dxa" w:w="6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 Selbstkosten</w:t>
            </w:r>
          </w:p>
        </w:tc>
        <w:tc>
          <w:tcPr>
            <w:tcW w:type="dxa" w:w="3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27.000 €</w:t>
            </w:r>
          </w:p>
        </w:tc>
      </w:tr>
      <w:tr>
        <w:tc>
          <w:tcPr>
            <w:tcW w:type="dxa" w:w="6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Gewinnzuschlag 15 %</w:t>
            </w:r>
          </w:p>
        </w:tc>
        <w:tc>
          <w:tcPr>
            <w:tcW w:type="dxa" w:w="3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4.050 €</w:t>
            </w:r>
          </w:p>
        </w:tc>
      </w:tr>
      <w:tr>
        <w:tc>
          <w:tcPr>
            <w:tcW w:type="dxa" w:w="6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 Nettoangebotspreis</w:t>
            </w:r>
          </w:p>
        </w:tc>
        <w:tc>
          <w:tcPr>
            <w:tcW w:type="dxa" w:w="3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31.050 €</w:t>
            </w:r>
          </w:p>
        </w:tc>
      </w:tr>
      <w:tr>
        <w:tc>
          <w:tcPr>
            <w:tcW w:type="dxa" w:w="6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Umsatzsteuer 19 %</w:t>
            </w:r>
          </w:p>
        </w:tc>
        <w:tc>
          <w:tcPr>
            <w:tcW w:type="dxa" w:w="3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5.899,50 €</w:t>
            </w:r>
          </w:p>
        </w:tc>
      </w:tr>
      <w:tr>
        <w:tc>
          <w:tcPr>
            <w:tcW w:type="dxa" w:w="6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 Bruttoangebotspreis</w:t>
            </w:r>
          </w:p>
        </w:tc>
        <w:tc>
          <w:tcPr>
            <w:tcW w:type="dxa" w:w="3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right"/>
            </w:pPr>
            <w:r>
              <w:rPr>
                <w:rFonts w:ascii="Calibri" w:cs="Calibri" w:eastAsia="Calibri" w:hAnsi="Calibri"/>
                <w:b w:val="false"/>
                <w:bCs w:val="false"/>
                <w:color w:val="1A1A1A"/>
                <w:sz w:val="20"/>
                <w:szCs w:val="20"/>
              </w:rPr>
              <w:t xml:space="preserve">36.949,50 €</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5  Wirtschaftlichkeit prüfen</w:t>
      </w:r>
    </w:p>
    <w:p>
      <w:pPr>
        <w:spacing w:after="120" w:before="0" w:line="276"/>
      </w:pPr>
      <w:r>
        <w:rPr>
          <w:rFonts w:ascii="Calibri" w:cs="Calibri" w:eastAsia="Calibri" w:hAnsi="Calibri"/>
          <w:color w:val="1A1A1A"/>
          <w:sz w:val="21"/>
          <w:szCs w:val="21"/>
        </w:rPr>
        <w:t xml:space="preserve">Ein Preis allein sagt nichts darüber, ob sich ein Projekt lohnt. Das entscheidet der Vergleich von Kosten und Nutzen.</w:t>
      </w:r>
    </w:p>
    <w:p>
      <w:pPr>
        <w:pStyle w:val="Heading2"/>
        <w:spacing w:after="120" w:before="280"/>
      </w:pPr>
      <w:r>
        <w:rPr>
          <w:rFonts w:ascii="Calibri" w:cs="Calibri" w:eastAsia="Calibri" w:hAnsi="Calibri"/>
          <w:b/>
          <w:bCs/>
          <w:color w:val="0066AA"/>
          <w:sz w:val="24"/>
          <w:szCs w:val="24"/>
        </w:rPr>
        <w:t xml:space="preserve">5.1  Kosten und Nutzen gegenüberstellen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Kosten</w:t>
            </w:r>
          </w:p>
        </w:tc>
        <w:tc>
          <w:tcPr>
            <w:tcW w:type="dxa" w:w="45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Nutzen</w:t>
            </w:r>
          </w:p>
        </w:tc>
      </w:tr>
      <w:tr>
        <w:tc>
          <w:tcPr>
            <w:tcW w:type="dxa" w:w="45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Investition: 31.050 € netto</w:t>
            </w:r>
          </w:p>
        </w:tc>
        <w:tc>
          <w:tcPr>
            <w:tcW w:type="dxa" w:w="45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Zeitersparnis: 2 h/Tag × 220 × 25 € = 11.000 €/J</w:t>
            </w:r>
          </w:p>
        </w:tc>
      </w:tr>
      <w:tr>
        <w:tc>
          <w:tcPr>
            <w:tcW w:type="dxa" w:w="45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Laufende Kosten: 3.000 €/Jahr</w:t>
            </w:r>
          </w:p>
        </w:tc>
        <w:tc>
          <w:tcPr>
            <w:tcW w:type="dxa" w:w="45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Weniger Fehlfahrten: 4.000 €/Jahr</w:t>
            </w:r>
          </w:p>
        </w:tc>
      </w:tr>
      <w:tr>
        <w:tc>
          <w:tcPr>
            <w:tcW w:type="dxa" w:w="45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Schwer messbar: Einarbeitung</w:t>
            </w:r>
          </w:p>
        </w:tc>
        <w:tc>
          <w:tcPr>
            <w:tcW w:type="dxa" w:w="45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Schwer messbar: zufriedenere Kunden</w:t>
            </w:r>
          </w:p>
        </w:tc>
      </w:tr>
    </w:tbl>
    <w:p>
      <w:pPr>
        <w:spacing w:after="120" w:before="120" w:line="276"/>
      </w:pPr>
      <w:r>
        <w:rPr>
          <w:rFonts w:ascii="Calibri" w:cs="Calibri" w:eastAsia="Calibri" w:hAnsi="Calibri"/>
          <w:color w:val="1A1A1A"/>
          <w:sz w:val="21"/>
          <w:szCs w:val="21"/>
        </w:rPr>
        <w:t xml:space="preserve">Der jährliche Bruttonutzen beträgt 15.000 €. Abzüglich der laufenden Kosten von 3.000 € bleibt ein jährlicher Netto-Nutzen von 12.000 €.</w:t>
      </w:r>
    </w:p>
    <w:p>
      <w:pPr>
        <w:pStyle w:val="Heading2"/>
        <w:spacing w:after="120" w:before="280"/>
      </w:pPr>
      <w:r>
        <w:rPr>
          <w:rFonts w:ascii="Calibri" w:cs="Calibri" w:eastAsia="Calibri" w:hAnsi="Calibri"/>
          <w:b/>
          <w:bCs/>
          <w:color w:val="0066AA"/>
          <w:sz w:val="24"/>
          <w:szCs w:val="24"/>
        </w:rPr>
        <w:t xml:space="preserve">5.2  Amortisationsrechnung</w:t>
      </w:r>
    </w:p>
    <w:p>
      <w:pPr>
        <w:spacing w:after="120" w:before="0" w:line="276"/>
      </w:pPr>
      <w:r>
        <w:rPr>
          <w:rFonts w:ascii="Calibri" w:cs="Calibri" w:eastAsia="Calibri" w:hAnsi="Calibri"/>
          <w:color w:val="1A1A1A"/>
          <w:sz w:val="21"/>
          <w:szCs w:val="21"/>
        </w:rPr>
        <w:t xml:space="preserve">Die Amortisationsrechnung sagt, nach welcher Zeit die Investition durch den jährlichen Netto-Nutzen wieder hereingeholt 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Amortisation Nordfracht</w:t>
            </w:r>
          </w:p>
          <w:p>
            <w:pPr>
              <w:spacing w:after="40" w:line="264"/>
            </w:pPr>
            <w:r>
              <w:rPr>
                <w:rFonts w:ascii="Calibri" w:cs="Calibri" w:eastAsia="Calibri" w:hAnsi="Calibri"/>
                <w:color w:val="1A1A1A"/>
                <w:sz w:val="20"/>
                <w:szCs w:val="20"/>
              </w:rPr>
              <w:t xml:space="preserve">Amortisationszeit = Investition ÷ jährlicher Netto-Nutzen</w:t>
            </w:r>
          </w:p>
          <w:p>
            <w:pPr>
              <w:spacing w:after="40" w:line="264"/>
            </w:pPr>
            <w:r>
              <w:rPr>
                <w:rFonts w:ascii="Calibri" w:cs="Calibri" w:eastAsia="Calibri" w:hAnsi="Calibri"/>
                <w:color w:val="1A1A1A"/>
                <w:sz w:val="20"/>
                <w:szCs w:val="20"/>
              </w:rPr>
              <w:t xml:space="preserve">= 31.050 € ÷ 12.000 €/Jahr ≈ 2,6 Jahre</w:t>
            </w:r>
          </w:p>
          <w:p>
            <w:pPr>
              <w:spacing w:after="40" w:line="264"/>
            </w:pPr>
            <w:r>
              <w:rPr>
                <w:rFonts w:ascii="Calibri" w:cs="Calibri" w:eastAsia="Calibri" w:hAnsi="Calibri"/>
                <w:color w:val="1A1A1A"/>
                <w:sz w:val="20"/>
                <w:szCs w:val="20"/>
              </w:rPr>
              <w:t xml:space="preserve">Nach gut zweieinhalb Jahren ist die Investition gedeckt — danach spart das System Geld.</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6  Make or Buy</w:t>
      </w:r>
    </w:p>
    <w:p>
      <w:pPr>
        <w:spacing w:after="120" w:before="0" w:line="276"/>
      </w:pPr>
      <w:r>
        <w:rPr>
          <w:rFonts w:ascii="Calibri" w:cs="Calibri" w:eastAsia="Calibri" w:hAnsi="Calibri"/>
          <w:color w:val="1A1A1A"/>
          <w:sz w:val="21"/>
          <w:szCs w:val="21"/>
        </w:rPr>
        <w:t xml:space="preserve">Nicht jede Anforderung muss selbst entwickelt werden. Die Make-or-Buy-Entscheidung wägt ab, ob man selbst baut oder eine fertige Lösung kauft.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513"/>
        <w:gridCol w:w="3513"/>
      </w:tblGrid>
      <w:tr>
        <w:trPr>
          <w:tblHeader/>
        </w:trPr>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35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Make (selbst)</w:t>
            </w:r>
          </w:p>
        </w:tc>
        <w:tc>
          <w:tcPr>
            <w:tcW w:type="dxa" w:w="35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Buy (kaufen)</w:t>
            </w:r>
          </w:p>
        </w:tc>
      </w:tr>
      <w:tr>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Vorteil</w:t>
            </w:r>
          </w:p>
        </w:tc>
        <w:tc>
          <w:tcPr>
            <w:tcW w:type="dxa" w:w="35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genau passend, volle Kontrolle</w:t>
            </w:r>
          </w:p>
        </w:tc>
        <w:tc>
          <w:tcPr>
            <w:tcW w:type="dxa" w:w="35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schnell, erprobt, wird gepflegt</w:t>
            </w:r>
          </w:p>
        </w:tc>
      </w:tr>
      <w:tr>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Nachteil</w:t>
            </w:r>
          </w:p>
        </w:tc>
        <w:tc>
          <w:tcPr>
            <w:tcW w:type="dxa" w:w="35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mehr Aufwand, Wartung bei uns</w:t>
            </w:r>
          </w:p>
        </w:tc>
        <w:tc>
          <w:tcPr>
            <w:tcW w:type="dxa" w:w="35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Kompromisse, Lizenzkosten, Abhängigkeit</w:t>
            </w:r>
          </w:p>
        </w:tc>
      </w:tr>
    </w:tbl>
    <w:p>
      <w:pPr>
        <w:spacing w:after="120" w:before="120" w:line="276"/>
      </w:pPr>
      <w:r>
        <w:rPr>
          <w:rFonts w:ascii="Calibri" w:cs="Calibri" w:eastAsia="Calibri" w:hAnsi="Calibri"/>
          <w:color w:val="1A1A1A"/>
          <w:sz w:val="21"/>
          <w:szCs w:val="21"/>
        </w:rPr>
        <w:t xml:space="preserve">Machen Sie die Entscheidung an den Anforderungen und den Gesamtkosten über die Laufzeit fest — nicht am Bauchgefühl. Eine günstige Fertiglösung, die zentrale Anforderungen verfehlt, ist am Ende teuer.</w:t>
      </w:r>
    </w:p>
    <w:p>
      <w:pPr>
        <w:pStyle w:val="Heading1"/>
        <w:pBdr>
          <w:bottom w:val="single" w:color="F0A500" w:sz="12" w:space="4"/>
        </w:pBdr>
        <w:spacing w:after="180" w:before="360"/>
      </w:pPr>
      <w:r>
        <w:rPr>
          <w:rFonts w:ascii="Calibri" w:cs="Calibri" w:eastAsia="Calibri" w:hAnsi="Calibri"/>
          <w:b/>
          <w:bCs/>
          <w:color w:val="003366"/>
          <w:sz w:val="30"/>
          <w:szCs w:val="30"/>
        </w:rPr>
        <w:t xml:space="preserve">7  Das Angebot erstellen</w:t>
      </w:r>
    </w:p>
    <w:p>
      <w:pPr>
        <w:spacing w:after="120" w:before="0" w:line="276"/>
      </w:pPr>
      <w:r>
        <w:rPr>
          <w:rFonts w:ascii="Calibri" w:cs="Calibri" w:eastAsia="Calibri" w:hAnsi="Calibri"/>
          <w:color w:val="1A1A1A"/>
          <w:sz w:val="21"/>
          <w:szCs w:val="21"/>
        </w:rPr>
        <w:t xml:space="preserve">Am Ende der Etappe steht das schriftliche Angebot. Es enthält:</w:t>
      </w:r>
    </w:p>
    <w:p>
      <w:pPr>
        <w:pStyle w:val="ListParagraph"/>
        <w:numPr>
          <w:ilvl w:val="0"/>
          <w:numId w:val="2"/>
        </w:numPr>
        <w:spacing w:after="70" w:line="270"/>
      </w:pPr>
      <w:r>
        <w:rPr>
          <w:rFonts w:ascii="Calibri" w:cs="Calibri" w:eastAsia="Calibri" w:hAnsi="Calibri"/>
          <w:color w:val="1A1A1A"/>
          <w:sz w:val="21"/>
          <w:szCs w:val="21"/>
        </w:rPr>
        <w:t xml:space="preserve">Leistungsbeschreibung mit Bezug zum Pflichtenheft.</w:t>
      </w:r>
    </w:p>
    <w:p>
      <w:pPr>
        <w:pStyle w:val="ListParagraph"/>
        <w:numPr>
          <w:ilvl w:val="0"/>
          <w:numId w:val="2"/>
        </w:numPr>
        <w:spacing w:after="70" w:line="270"/>
      </w:pPr>
      <w:r>
        <w:rPr>
          <w:rFonts w:ascii="Calibri" w:cs="Calibri" w:eastAsia="Calibri" w:hAnsi="Calibri"/>
          <w:color w:val="1A1A1A"/>
          <w:sz w:val="21"/>
          <w:szCs w:val="21"/>
        </w:rPr>
        <w:t xml:space="preserve">Den Preis, aufgeschlüsselt und nachvollziehbar.</w:t>
      </w:r>
    </w:p>
    <w:p>
      <w:pPr>
        <w:pStyle w:val="ListParagraph"/>
        <w:numPr>
          <w:ilvl w:val="0"/>
          <w:numId w:val="2"/>
        </w:numPr>
        <w:spacing w:after="70" w:line="270"/>
      </w:pPr>
      <w:r>
        <w:rPr>
          <w:rFonts w:ascii="Calibri" w:cs="Calibri" w:eastAsia="Calibri" w:hAnsi="Calibri"/>
          <w:color w:val="1A1A1A"/>
          <w:sz w:val="21"/>
          <w:szCs w:val="21"/>
        </w:rPr>
        <w:t xml:space="preserve">Termine und Zahlungsbedingungen.</w:t>
      </w:r>
    </w:p>
    <w:p>
      <w:pPr>
        <w:pStyle w:val="ListParagraph"/>
        <w:numPr>
          <w:ilvl w:val="0"/>
          <w:numId w:val="2"/>
        </w:numPr>
        <w:spacing w:after="70" w:line="270"/>
      </w:pPr>
      <w:r>
        <w:rPr>
          <w:rFonts w:ascii="Calibri" w:cs="Calibri" w:eastAsia="Calibri" w:hAnsi="Calibri"/>
          <w:color w:val="1A1A1A"/>
          <w:sz w:val="21"/>
          <w:szCs w:val="21"/>
        </w:rPr>
        <w:t xml:space="preserve">Die Gültigkeitsdauer des Angebots.</w:t>
      </w:r>
    </w:p>
    <w:p>
      <w:pPr>
        <w:pStyle w:val="ListParagraph"/>
        <w:numPr>
          <w:ilvl w:val="0"/>
          <w:numId w:val="2"/>
        </w:numPr>
        <w:spacing w:after="70" w:line="270"/>
      </w:pPr>
      <w:r>
        <w:rPr>
          <w:rFonts w:ascii="Calibri" w:cs="Calibri" w:eastAsia="Calibri" w:hAnsi="Calibri"/>
          <w:color w:val="1A1A1A"/>
          <w:sz w:val="21"/>
          <w:szCs w:val="21"/>
        </w:rPr>
        <w:t xml:space="preserve">Allgemeine Geschäftsbedingungen.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Rechtlicher Hinweis</w:t>
            </w:r>
          </w:p>
          <w:p>
            <w:pPr>
              <w:spacing w:after="40" w:line="264"/>
            </w:pPr>
            <w:r>
              <w:rPr>
                <w:rFonts w:ascii="Calibri" w:cs="Calibri" w:eastAsia="Calibri" w:hAnsi="Calibri"/>
                <w:color w:val="1A1A1A"/>
                <w:sz w:val="20"/>
                <w:szCs w:val="20"/>
              </w:rPr>
              <w:t xml:space="preserve">Ein verbindliches Angebot bindet Sie an Preis und Leistung. Der Zusatz „freibleibend" oder „unverbindlich" hält Änderungen offen.</w:t>
            </w:r>
          </w:p>
          <w:p>
            <w:pPr>
              <w:spacing w:after="40" w:line="264"/>
            </w:pPr>
            <w:r>
              <w:rPr>
                <w:rFonts w:ascii="Calibri" w:cs="Calibri" w:eastAsia="Calibri" w:hAnsi="Calibri"/>
                <w:color w:val="1A1A1A"/>
                <w:sz w:val="20"/>
                <w:szCs w:val="20"/>
              </w:rPr>
              <w:t xml:space="preserve">Nimmt der Kunde ein verbindliches Angebot an, kommt ein Vertrag zustande. Deshalb: erst sauber kalkulieren, dann verschicken.</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8  Zusammenfassung</w:t>
      </w:r>
    </w:p>
    <w:p>
      <w:pPr>
        <w:pStyle w:val="ListParagraph"/>
        <w:numPr>
          <w:ilvl w:val="0"/>
          <w:numId w:val="2"/>
        </w:numPr>
        <w:spacing w:after="70" w:line="270"/>
      </w:pPr>
      <w:r>
        <w:rPr>
          <w:rFonts w:ascii="Calibri" w:cs="Calibri" w:eastAsia="Calibri" w:hAnsi="Calibri"/>
          <w:color w:val="1A1A1A"/>
          <w:sz w:val="21"/>
          <w:szCs w:val="21"/>
        </w:rPr>
        <w:t xml:space="preserve">Aus dem Pflichtenheft wird über Aufwand, Kosten und Preis ein Angebot.</w:t>
      </w:r>
    </w:p>
    <w:p>
      <w:pPr>
        <w:pStyle w:val="ListParagraph"/>
        <w:numPr>
          <w:ilvl w:val="0"/>
          <w:numId w:val="2"/>
        </w:numPr>
        <w:spacing w:after="70" w:line="270"/>
      </w:pPr>
      <w:r>
        <w:rPr>
          <w:rFonts w:ascii="Calibri" w:cs="Calibri" w:eastAsia="Calibri" w:hAnsi="Calibri"/>
          <w:color w:val="1A1A1A"/>
          <w:sz w:val="21"/>
          <w:szCs w:val="21"/>
        </w:rPr>
        <w:t xml:space="preserve">Aufwand immer begründet schätzen — eine Zahl ohne Herleitung trägt nicht.</w:t>
      </w:r>
    </w:p>
    <w:p>
      <w:pPr>
        <w:pStyle w:val="ListParagraph"/>
        <w:numPr>
          <w:ilvl w:val="0"/>
          <w:numId w:val="2"/>
        </w:numPr>
        <w:spacing w:after="70" w:line="270"/>
      </w:pPr>
      <w:r>
        <w:rPr>
          <w:rFonts w:ascii="Calibri" w:cs="Calibri" w:eastAsia="Calibri" w:hAnsi="Calibri"/>
          <w:color w:val="1A1A1A"/>
          <w:sz w:val="21"/>
          <w:szCs w:val="21"/>
        </w:rPr>
        <w:t xml:space="preserve">Zuschlagskalkulation: Einzel- + Gemeinkosten = Selbstkosten, dann Gewinn und Umsatzsteuer.</w:t>
      </w:r>
    </w:p>
    <w:p>
      <w:pPr>
        <w:pStyle w:val="ListParagraph"/>
        <w:numPr>
          <w:ilvl w:val="0"/>
          <w:numId w:val="2"/>
        </w:numPr>
        <w:spacing w:after="70" w:line="270"/>
      </w:pPr>
      <w:r>
        <w:rPr>
          <w:rFonts w:ascii="Calibri" w:cs="Calibri" w:eastAsia="Calibri" w:hAnsi="Calibri"/>
          <w:color w:val="1A1A1A"/>
          <w:sz w:val="21"/>
          <w:szCs w:val="21"/>
        </w:rPr>
        <w:t xml:space="preserve">Wirtschaftlichkeit über Kosten-Nutzen und Amortisationszeit belegen.</w:t>
      </w:r>
    </w:p>
    <w:p>
      <w:pPr>
        <w:pStyle w:val="ListParagraph"/>
        <w:numPr>
          <w:ilvl w:val="0"/>
          <w:numId w:val="2"/>
        </w:numPr>
        <w:spacing w:after="70" w:line="270"/>
      </w:pPr>
      <w:r>
        <w:rPr>
          <w:rFonts w:ascii="Calibri" w:cs="Calibri" w:eastAsia="Calibri" w:hAnsi="Calibri"/>
          <w:color w:val="1A1A1A"/>
          <w:sz w:val="21"/>
          <w:szCs w:val="21"/>
        </w:rPr>
        <w:t xml:space="preserve">Make or Buy an Anforderungen und Gesamtkosten festmachen.</w:t>
      </w:r>
    </w:p>
    <w:p>
      <w:pPr>
        <w:pStyle w:val="ListParagraph"/>
        <w:numPr>
          <w:ilvl w:val="0"/>
          <w:numId w:val="2"/>
        </w:numPr>
        <w:spacing w:after="70" w:line="270"/>
      </w:pPr>
      <w:r>
        <w:rPr>
          <w:rFonts w:ascii="Calibri" w:cs="Calibri" w:eastAsia="Calibri" w:hAnsi="Calibri"/>
          <w:color w:val="1A1A1A"/>
          <w:sz w:val="21"/>
          <w:szCs w:val="21"/>
        </w:rPr>
        <w:t xml:space="preserve">Ein angenommenes verbindliches Angebot ist ein Vertrag.</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Handout E2 · Angebot, Kalkulation und Wirtschaftlichkeit</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abstractNum>
  <w:abstractNum w:abstractNumId="3" w15:restartNumberingAfterBreak="0">
    <w:multiLevelType w:val="hybridMultilevel"/>
    <w:lvl w:ilvl="0" w15:tentative="1">
      <w:start w:val="1"/>
      <w:numFmt w:val="decimal"/>
      <w:lvlText w:val="%1."/>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E2</dc:title>
  <dc:creator>bfw Lübeck</dc:creator>
  <cp:lastModifiedBy>Un-named</cp:lastModifiedBy>
  <cp:revision>1</cp:revision>
  <dcterms:created xsi:type="dcterms:W3CDTF">2026-07-26T16:15:19.792Z</dcterms:created>
  <dcterms:modified xsi:type="dcterms:W3CDTF">2026-07-26T16:15:19.792Z</dcterms:modified>
</cp:coreProperties>
</file>

<file path=docProps/custom.xml><?xml version="1.0" encoding="utf-8"?>
<Properties xmlns="http://schemas.openxmlformats.org/officeDocument/2006/custom-properties" xmlns:vt="http://schemas.openxmlformats.org/officeDocument/2006/docPropsVTypes"/>
</file>