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w:t>
      </w:r>
    </w:p>
    <w:p>
      <w:pPr>
        <w:pBdr>
          <w:bottom w:val="single" w:color="F0A500" w:sz="18" w:space="6"/>
        </w:pBdr>
        <w:spacing w:after="60"/>
      </w:pPr>
      <w:r>
        <w:rPr>
          <w:rFonts w:ascii="Calibri" w:cs="Calibri" w:eastAsia="Calibri" w:hAnsi="Calibri"/>
          <w:b/>
          <w:bCs/>
          <w:color w:val="003366"/>
          <w:sz w:val="34"/>
          <w:szCs w:val="34"/>
        </w:rPr>
        <w:t xml:space="preserve">Handout E1 — Kundenauftrag und Anforderungsanalyse</w:t>
      </w:r>
    </w:p>
    <w:p>
      <w:pPr>
        <w:spacing w:after="240" w:before="120" w:line="276"/>
      </w:pPr>
      <w:r>
        <w:rPr>
          <w:rFonts w:ascii="Calibri" w:cs="Calibri" w:eastAsia="Calibri" w:hAnsi="Calibri"/>
          <w:i/>
          <w:iCs/>
          <w:color w:val="444444"/>
          <w:sz w:val="24"/>
          <w:szCs w:val="24"/>
        </w:rPr>
        <w:t xml:space="preserve">Von der ersten Anfrage bis zum Pflichtenheft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Wert</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Etappe</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E1 im Lernfeld 12 (Abschluss-Lernfeld)</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Fachrichtung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FIAE und FISI gemeinsam</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Umfang</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70 UE</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Einordnung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Erste Etappe des Kundenauftrags — Grundlage für alle folgenden Etappen</w:t>
            </w:r>
          </w:p>
        </w:tc>
      </w:tr>
    </w:tbl>
    <w:p>
      <w:pPr>
        <w:spacing w:after="80" w:before="240"/>
      </w:pPr>
      <w:r>
        <w:rPr>
          <w:rFonts w:ascii="Calibri" w:cs="Calibri" w:eastAsia="Calibri" w:hAnsi="Calibri"/>
          <w:b/>
          <w:bCs/>
          <w:color w:val="003366"/>
          <w:sz w:val="24"/>
          <w:szCs w:val="24"/>
        </w:rPr>
        <w:t xml:space="preserve">Inhalt</w:t>
      </w:r>
    </w:p>
    <w:sdt>
      <w:sdtPr>
        <w:alias w:val="Inhalt"/>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1  Warum diese Etappe über Erfolg entscheidet</w:t>
      </w:r>
    </w:p>
    <w:p>
      <w:pPr>
        <w:spacing w:after="120" w:before="0" w:line="276"/>
      </w:pPr>
      <w:r>
        <w:rPr>
          <w:rFonts w:ascii="Calibri" w:cs="Calibri" w:eastAsia="Calibri" w:hAnsi="Calibri"/>
          <w:color w:val="1A1A1A"/>
          <w:sz w:val="21"/>
          <w:szCs w:val="21"/>
        </w:rPr>
        <w:t xml:space="preserve">Lernfeld 12 ist das Abschluss-Lernfeld beider Fachrichtungen. Hier führen Sie einen vollständigen Kundenauftrag durch — von der ersten Anfrage bis zur Übergabe an den Betrieb. Etappe 1 steht am Anfang dieser Kette: Sie klären, was der Kunde wirklich braucht.</w:t>
      </w:r>
    </w:p>
    <w:p>
      <w:pPr>
        <w:spacing w:after="120" w:before="0" w:line="276"/>
      </w:pPr>
      <w:r>
        <w:rPr>
          <w:rFonts w:ascii="Calibri" w:cs="Calibri" w:eastAsia="Calibri" w:hAnsi="Calibri"/>
          <w:color w:val="1A1A1A"/>
          <w:sz w:val="21"/>
          <w:szCs w:val="21"/>
        </w:rPr>
        <w:t xml:space="preserve">Das klingt einfach, ist aber der Punkt, an dem die meisten IT-Projekte scheitern. Nicht an der Technik, sondern daran, dass am Anfang nicht sauber verstanden wurde, was gebaut werden soll. Ein Fehler in der Anforderungsanalyse pflanzt sich durch das gesamte Projekt fort und wird mit jeder Etappe teurer: Was in E1 ein Satz mehr im Gespräch gewesen wäre, ist nach der Umsetzung ein kostspieliger Umbau.</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Merksatz</w:t>
            </w:r>
          </w:p>
          <w:p>
            <w:pPr>
              <w:spacing w:after="40" w:line="264"/>
            </w:pPr>
            <w:r>
              <w:rPr>
                <w:rFonts w:ascii="Calibri" w:cs="Calibri" w:eastAsia="Calibri" w:hAnsi="Calibri"/>
                <w:color w:val="1A1A1A"/>
                <w:sz w:val="20"/>
                <w:szCs w:val="20"/>
              </w:rPr>
              <w:t xml:space="preserve">Die Anforderungsanalyse ist die billigste Stelle, um Fehler zu vermeiden — und die teuerste, um sie zu übersehen.</w:t>
            </w:r>
          </w:p>
        </w:tc>
      </w:tr>
    </w:tbl>
    <w:p>
      <w:pPr>
        <w:pStyle w:val="Heading2"/>
        <w:spacing w:after="120" w:before="280"/>
      </w:pPr>
      <w:r>
        <w:rPr>
          <w:rFonts w:ascii="Calibri" w:cs="Calibri" w:eastAsia="Calibri" w:hAnsi="Calibri"/>
          <w:b/>
          <w:bCs/>
          <w:color w:val="0066AA"/>
          <w:sz w:val="24"/>
          <w:szCs w:val="24"/>
        </w:rPr>
        <w:t xml:space="preserve">1.1  Der Kundenauftrag im Überblick</w:t>
      </w:r>
    </w:p>
    <w:p>
      <w:pPr>
        <w:spacing w:after="120" w:before="0" w:line="276"/>
      </w:pPr>
      <w:r>
        <w:rPr>
          <w:rFonts w:ascii="Calibri" w:cs="Calibri" w:eastAsia="Calibri" w:hAnsi="Calibri"/>
          <w:color w:val="1A1A1A"/>
          <w:sz w:val="21"/>
          <w:szCs w:val="21"/>
        </w:rPr>
        <w:t xml:space="preserve">Der gesamte Auftrag durchläuft die Etappen E1 bis E7, bevor er im Capstone (E8) eigenständig wiederholt wird: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4326"/>
        <w:gridCol w:w="3400"/>
      </w:tblGrid>
      <w:tr>
        <w:trPr>
          <w:tblHeader/>
        </w:trPr>
        <w:tc>
          <w:tcPr>
            <w:tcW w:type="dxa" w:w="13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Etappe</w:t>
            </w:r>
          </w:p>
        </w:tc>
        <w:tc>
          <w:tcPr>
            <w:tcW w:type="dxa" w:w="4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Inhalt</w:t>
            </w:r>
          </w:p>
        </w:tc>
        <w:tc>
          <w:tcPr>
            <w:tcW w:type="dxa" w:w="3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Ergebnis</w:t>
            </w:r>
          </w:p>
        </w:tc>
      </w:tr>
      <w:tr>
        <w:tc>
          <w:tcPr>
            <w:tcW w:type="dxa" w:w="13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E1</w:t>
            </w:r>
          </w:p>
        </w:tc>
        <w:tc>
          <w:tcPr>
            <w:tcW w:type="dxa" w:w="4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Anfrage und Anforderungsanalyse</w:t>
            </w:r>
          </w:p>
        </w:tc>
        <w:tc>
          <w:tcPr>
            <w:tcW w:type="dxa" w:w="3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Pflichtenheft</w:t>
            </w:r>
          </w:p>
        </w:tc>
      </w:tr>
      <w:tr>
        <w:tc>
          <w:tcPr>
            <w:tcW w:type="dxa" w:w="13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E2</w:t>
            </w:r>
          </w:p>
        </w:tc>
        <w:tc>
          <w:tcPr>
            <w:tcW w:type="dxa" w:w="4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Angebot und Kalkulation</w:t>
            </w:r>
          </w:p>
        </w:tc>
        <w:tc>
          <w:tcPr>
            <w:tcW w:type="dxa" w:w="3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verbindliches Angebot</w:t>
            </w:r>
          </w:p>
        </w:tc>
      </w:tr>
      <w:tr>
        <w:tc>
          <w:tcPr>
            <w:tcW w:type="dxa" w:w="13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E3</w:t>
            </w:r>
          </w:p>
        </w:tc>
        <w:tc>
          <w:tcPr>
            <w:tcW w:type="dxa" w:w="4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Projektplanung</w:t>
            </w:r>
          </w:p>
        </w:tc>
        <w:tc>
          <w:tcPr>
            <w:tcW w:type="dxa" w:w="3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Projekt- und Terminplan</w:t>
            </w:r>
          </w:p>
        </w:tc>
      </w:tr>
      <w:tr>
        <w:tc>
          <w:tcPr>
            <w:tcW w:type="dxa" w:w="13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E4</w:t>
            </w:r>
          </w:p>
        </w:tc>
        <w:tc>
          <w:tcPr>
            <w:tcW w:type="dxa" w:w="4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Umsetzung (fachrichtungsspezifisch)</w:t>
            </w:r>
          </w:p>
        </w:tc>
        <w:tc>
          <w:tcPr>
            <w:tcW w:type="dxa" w:w="3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fertiges System / Anwendung</w:t>
            </w:r>
          </w:p>
        </w:tc>
      </w:tr>
      <w:tr>
        <w:tc>
          <w:tcPr>
            <w:tcW w:type="dxa" w:w="13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E5</w:t>
            </w:r>
          </w:p>
        </w:tc>
        <w:tc>
          <w:tcPr>
            <w:tcW w:type="dxa" w:w="4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Qualitätssicherung und Test</w:t>
            </w:r>
          </w:p>
        </w:tc>
        <w:tc>
          <w:tcPr>
            <w:tcW w:type="dxa" w:w="3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Testprotokoll</w:t>
            </w:r>
          </w:p>
        </w:tc>
      </w:tr>
      <w:tr>
        <w:tc>
          <w:tcPr>
            <w:tcW w:type="dxa" w:w="13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E6</w:t>
            </w:r>
          </w:p>
        </w:tc>
        <w:tc>
          <w:tcPr>
            <w:tcW w:type="dxa" w:w="4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Recht und Compliance</w:t>
            </w:r>
          </w:p>
        </w:tc>
        <w:tc>
          <w:tcPr>
            <w:tcW w:type="dxa" w:w="3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rechtssichere Rahmenbedingungen</w:t>
            </w:r>
          </w:p>
        </w:tc>
      </w:tr>
      <w:tr>
        <w:tc>
          <w:tcPr>
            <w:tcW w:type="dxa" w:w="13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E7</w:t>
            </w:r>
          </w:p>
        </w:tc>
        <w:tc>
          <w:tcPr>
            <w:tcW w:type="dxa" w:w="4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Abnahme und Übergabe</w:t>
            </w:r>
          </w:p>
        </w:tc>
        <w:tc>
          <w:tcPr>
            <w:tcW w:type="dxa" w:w="3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abgenommenes, dokumentiertes Produkt</w:t>
            </w:r>
          </w:p>
        </w:tc>
      </w:tr>
    </w:tbl>
    <w:p>
      <w:pPr>
        <w:spacing w:after="120" w:before="120" w:line="276"/>
      </w:pPr>
      <w:r>
        <w:rPr>
          <w:rFonts w:ascii="Calibri" w:cs="Calibri" w:eastAsia="Calibri" w:hAnsi="Calibri"/>
          <w:color w:val="1A1A1A"/>
          <w:sz w:val="21"/>
          <w:szCs w:val="21"/>
        </w:rPr>
        <w:t xml:space="preserve">Alles Weitere baut auf dem auf, was Sie in E1 erheben. Deshalb steht diese Etappe am Anfang — und deshalb lohnt sich die Sorgfalt.</w:t>
      </w:r>
    </w:p>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2  Stakeholder erkennen und das Kundengespräch führen</w:t>
      </w:r>
    </w:p>
    <w:p>
      <w:pPr>
        <w:pStyle w:val="Heading2"/>
        <w:spacing w:after="120" w:before="280"/>
      </w:pPr>
      <w:r>
        <w:rPr>
          <w:rFonts w:ascii="Calibri" w:cs="Calibri" w:eastAsia="Calibri" w:hAnsi="Calibri"/>
          <w:b/>
          <w:bCs/>
          <w:color w:val="0066AA"/>
          <w:sz w:val="24"/>
          <w:szCs w:val="24"/>
        </w:rPr>
        <w:t xml:space="preserve">2.1  Wer redet mit — und wer entscheidet?</w:t>
      </w:r>
    </w:p>
    <w:p>
      <w:pPr>
        <w:spacing w:after="120" w:before="0" w:line="276"/>
      </w:pPr>
      <w:r>
        <w:rPr>
          <w:rFonts w:ascii="Calibri" w:cs="Calibri" w:eastAsia="Calibri" w:hAnsi="Calibri"/>
          <w:color w:val="1A1A1A"/>
          <w:sz w:val="21"/>
          <w:szCs w:val="21"/>
        </w:rPr>
        <w:t xml:space="preserve">Der Auftraggeber, der den Vertrag unterschreibt, ist selten identisch mit den Menschen, die später mit dem System arbeiten. Eine Stakeholder-Analyse macht sichtbar, wer alles betroffen ist:</w:t>
      </w:r>
    </w:p>
    <w:p>
      <w:pPr>
        <w:pStyle w:val="ListParagraph"/>
        <w:numPr>
          <w:ilvl w:val="0"/>
          <w:numId w:val="2"/>
        </w:numPr>
        <w:spacing w:after="70" w:line="270"/>
      </w:pPr>
      <w:r>
        <w:rPr>
          <w:rFonts w:ascii="Calibri" w:cs="Calibri" w:eastAsia="Calibri" w:hAnsi="Calibri"/>
          <w:color w:val="1A1A1A"/>
          <w:sz w:val="21"/>
          <w:szCs w:val="21"/>
        </w:rPr>
        <w:t xml:space="preserve">Wer zahlt? — der Auftraggeber, meist die Geschäftsführung.</w:t>
      </w:r>
    </w:p>
    <w:p>
      <w:pPr>
        <w:pStyle w:val="ListParagraph"/>
        <w:numPr>
          <w:ilvl w:val="0"/>
          <w:numId w:val="2"/>
        </w:numPr>
        <w:spacing w:after="70" w:line="270"/>
      </w:pPr>
      <w:r>
        <w:rPr>
          <w:rFonts w:ascii="Calibri" w:cs="Calibri" w:eastAsia="Calibri" w:hAnsi="Calibri"/>
          <w:color w:val="1A1A1A"/>
          <w:sz w:val="21"/>
          <w:szCs w:val="21"/>
        </w:rPr>
        <w:t xml:space="preserve">Wer nutzt das System täglich? — die späteren Anwender.</w:t>
      </w:r>
    </w:p>
    <w:p>
      <w:pPr>
        <w:pStyle w:val="ListParagraph"/>
        <w:numPr>
          <w:ilvl w:val="0"/>
          <w:numId w:val="2"/>
        </w:numPr>
        <w:spacing w:after="70" w:line="270"/>
      </w:pPr>
      <w:r>
        <w:rPr>
          <w:rFonts w:ascii="Calibri" w:cs="Calibri" w:eastAsia="Calibri" w:hAnsi="Calibri"/>
          <w:color w:val="1A1A1A"/>
          <w:sz w:val="21"/>
          <w:szCs w:val="21"/>
        </w:rPr>
        <w:t xml:space="preserve">Wer ist sonst betroffen? — angrenzende Abteilungen, Betriebsrat, externe Partner.</w:t>
      </w:r>
    </w:p>
    <w:p>
      <w:pPr>
        <w:pStyle w:val="ListParagraph"/>
        <w:numPr>
          <w:ilvl w:val="0"/>
          <w:numId w:val="2"/>
        </w:numPr>
        <w:spacing w:after="70" w:line="270"/>
      </w:pPr>
      <w:r>
        <w:rPr>
          <w:rFonts w:ascii="Calibri" w:cs="Calibri" w:eastAsia="Calibri" w:hAnsi="Calibri"/>
          <w:color w:val="1A1A1A"/>
          <w:sz w:val="21"/>
          <w:szCs w:val="21"/>
        </w:rPr>
        <w:t xml:space="preserve">Wer hat Einfluss, ohne direkt beteiligt zu sein? — z. B. Datenschutzbeauftragte, IT-Leitung.</w:t>
      </w:r>
    </w:p>
    <w:p>
      <w:pPr>
        <w:spacing w:after="120" w:before="60" w:line="276"/>
      </w:pPr>
      <w:r>
        <w:rPr>
          <w:rFonts w:ascii="Calibri" w:cs="Calibri" w:eastAsia="Calibri" w:hAnsi="Calibri"/>
          <w:color w:val="1A1A1A"/>
          <w:sz w:val="21"/>
          <w:szCs w:val="21"/>
        </w:rPr>
        <w:t xml:space="preserve">Diese Interessen widersprechen sich oft. Die Geschäftsführung will Kosten sparen, die Anwender wollen ein bequemes System, der Datenschutz will strenge Regeln. Diese Spannungen früh sichtbar zu machen, gehört zur Analyse — nicht sie zu verschweigen.</w:t>
      </w:r>
    </w:p>
    <w:p>
      <w:pPr>
        <w:pStyle w:val="Heading2"/>
        <w:spacing w:after="120" w:before="280"/>
      </w:pPr>
      <w:r>
        <w:rPr>
          <w:rFonts w:ascii="Calibri" w:cs="Calibri" w:eastAsia="Calibri" w:hAnsi="Calibri"/>
          <w:b/>
          <w:bCs/>
          <w:color w:val="0066AA"/>
          <w:sz w:val="24"/>
          <w:szCs w:val="24"/>
        </w:rPr>
        <w:t xml:space="preserve">2.2  Das Erstgespräch strukturiert führen</w:t>
      </w:r>
    </w:p>
    <w:p>
      <w:pPr>
        <w:spacing w:after="120" w:before="0" w:line="276"/>
      </w:pPr>
      <w:r>
        <w:rPr>
          <w:rFonts w:ascii="Calibri" w:cs="Calibri" w:eastAsia="Calibri" w:hAnsi="Calibri"/>
          <w:color w:val="1A1A1A"/>
          <w:sz w:val="21"/>
          <w:szCs w:val="21"/>
        </w:rPr>
        <w:t xml:space="preserve">Das Ziel des ersten Gesprächs ist, das Problem zu verstehen — nicht, schon eine Lösung zu verkaufen. Wer zu früh über Technik spricht, hört auf zuzuhören.</w:t>
      </w:r>
    </w:p>
    <w:p>
      <w:pPr>
        <w:pStyle w:val="ListParagraph"/>
        <w:numPr>
          <w:ilvl w:val="0"/>
          <w:numId w:val="3"/>
        </w:numPr>
        <w:spacing w:after="70" w:line="270"/>
      </w:pPr>
      <w:r>
        <w:rPr>
          <w:rFonts w:ascii="Calibri" w:cs="Calibri" w:eastAsia="Calibri" w:hAnsi="Calibri"/>
          <w:color w:val="1A1A1A"/>
          <w:sz w:val="21"/>
          <w:szCs w:val="21"/>
        </w:rPr>
        <w:t xml:space="preserve">Vorbereiten: einen Gesprächsleitfaden mit offenen Fragen erstellen. Offene Fragen beginnen mit „Wie", „Was", „Warum" und laden zum Erzählen ein — nicht Fragen, die mit Ja oder Nein beantwortet werden.</w:t>
      </w:r>
    </w:p>
    <w:p>
      <w:pPr>
        <w:pStyle w:val="ListParagraph"/>
        <w:numPr>
          <w:ilvl w:val="0"/>
          <w:numId w:val="3"/>
        </w:numPr>
        <w:spacing w:after="70" w:line="270"/>
      </w:pPr>
      <w:r>
        <w:rPr>
          <w:rFonts w:ascii="Calibri" w:cs="Calibri" w:eastAsia="Calibri" w:hAnsi="Calibri"/>
          <w:color w:val="1A1A1A"/>
          <w:sz w:val="21"/>
          <w:szCs w:val="21"/>
        </w:rPr>
        <w:t xml:space="preserve">Aktiv zuhören: das Gesagte in eigenen Worten zurückspiegeln („Habe ich richtig verstanden, dass …?"). Das deckt Missverständnisse sofort auf.</w:t>
      </w:r>
    </w:p>
    <w:p>
      <w:pPr>
        <w:pStyle w:val="ListParagraph"/>
        <w:numPr>
          <w:ilvl w:val="0"/>
          <w:numId w:val="3"/>
        </w:numPr>
        <w:spacing w:after="70" w:line="270"/>
      </w:pPr>
      <w:r>
        <w:rPr>
          <w:rFonts w:ascii="Calibri" w:cs="Calibri" w:eastAsia="Calibri" w:hAnsi="Calibri"/>
          <w:color w:val="1A1A1A"/>
          <w:sz w:val="21"/>
          <w:szCs w:val="21"/>
        </w:rPr>
        <w:t xml:space="preserve">In der Sprache des Kunden bleiben: Fachbegriffe vermeiden. Der Kunde ist kein Informatiker.</w:t>
      </w:r>
    </w:p>
    <w:p>
      <w:pPr>
        <w:pStyle w:val="ListParagraph"/>
        <w:numPr>
          <w:ilvl w:val="0"/>
          <w:numId w:val="3"/>
        </w:numPr>
        <w:spacing w:after="70" w:line="270"/>
      </w:pPr>
      <w:r>
        <w:rPr>
          <w:rFonts w:ascii="Calibri" w:cs="Calibri" w:eastAsia="Calibri" w:hAnsi="Calibri"/>
          <w:color w:val="1A1A1A"/>
          <w:sz w:val="21"/>
          <w:szCs w:val="21"/>
        </w:rPr>
        <w:t xml:space="preserve">Protokollieren: zeitnah ein Ergebnis- oder Verlaufsprotokoll schreiben und vom Kunden gegenzeichnen lassen. Das gegengezeichnete Protokoll ist die gemeinsame Grundlage, auf die sich später beide berufen können.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66AA" w:sz="6"/>
              <w:left w:val="single" w:color="0066AA" w:sz="18"/>
              <w:bottom w:val="single" w:color="0066AA" w:sz="6"/>
              <w:right w:val="single" w:color="0066AA" w:sz="6"/>
            </w:tcBorders>
            <w:shd w:fill="EEF5FB" w:color="auto" w:val="clear"/>
            <w:tcMar>
              <w:top w:type="dxa" w:w="120"/>
              <w:left w:type="dxa" w:w="160"/>
              <w:bottom w:type="dxa" w:w="120"/>
              <w:right w:type="dxa" w:w="160"/>
            </w:tcMar>
          </w:tcPr>
          <w:p>
            <w:pPr>
              <w:spacing w:after="60"/>
            </w:pPr>
            <w:r>
              <w:rPr>
                <w:rFonts w:ascii="Calibri" w:cs="Calibri" w:eastAsia="Calibri" w:hAnsi="Calibri"/>
                <w:b/>
                <w:bCs/>
                <w:color w:val="003366"/>
                <w:sz w:val="21"/>
                <w:szCs w:val="21"/>
              </w:rPr>
              <w:t xml:space="preserve">Beispiel: gute und schlechte Frage</w:t>
            </w:r>
          </w:p>
          <w:p>
            <w:pPr>
              <w:spacing w:after="40" w:line="264"/>
            </w:pPr>
            <w:r>
              <w:rPr>
                <w:rFonts w:ascii="Calibri" w:cs="Calibri" w:eastAsia="Calibri" w:hAnsi="Calibri"/>
                <w:color w:val="1A1A1A"/>
                <w:sz w:val="20"/>
                <w:szCs w:val="20"/>
              </w:rPr>
              <w:t xml:space="preserve">Schlecht: „Wollen Sie eine Weboberfläche?"  — der Kunde weiß nicht, was das bedeutet, und antwortet zufällig.</w:t>
            </w:r>
          </w:p>
          <w:p>
            <w:pPr>
              <w:spacing w:after="40" w:line="264"/>
            </w:pPr>
            <w:r>
              <w:rPr>
                <w:rFonts w:ascii="Calibri" w:cs="Calibri" w:eastAsia="Calibri" w:hAnsi="Calibri"/>
                <w:color w:val="1A1A1A"/>
                <w:sz w:val="20"/>
                <w:szCs w:val="20"/>
              </w:rPr>
              <w:t xml:space="preserve">Gut: „Wie sieht ein typischer Arbeitstag Ihres Disponenten heute aus?"  — liefert echte Informationen über den Ablauf.</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3  Anforderungen erheben und gliedern</w:t>
      </w:r>
    </w:p>
    <w:p>
      <w:pPr>
        <w:spacing w:after="120" w:before="0" w:line="276"/>
      </w:pPr>
      <w:r>
        <w:rPr>
          <w:rFonts w:ascii="Calibri" w:cs="Calibri" w:eastAsia="Calibri" w:hAnsi="Calibri"/>
          <w:color w:val="1A1A1A"/>
          <w:sz w:val="21"/>
          <w:szCs w:val="21"/>
        </w:rPr>
        <w:t xml:space="preserve">Eine Anforderung ist eine überprüfbare Aussage darüber, was das System leisten muss. Anforderungen werden in zwei Gruppen geteilt.</w:t>
      </w:r>
    </w:p>
    <w:p>
      <w:pPr>
        <w:pStyle w:val="Heading2"/>
        <w:spacing w:after="120" w:before="280"/>
      </w:pPr>
      <w:r>
        <w:rPr>
          <w:rFonts w:ascii="Calibri" w:cs="Calibri" w:eastAsia="Calibri" w:hAnsi="Calibri"/>
          <w:b/>
          <w:bCs/>
          <w:color w:val="0066AA"/>
          <w:sz w:val="24"/>
          <w:szCs w:val="24"/>
        </w:rPr>
        <w:t xml:space="preserve">3.1  Funktionale Anforderungen — WAS das System tut</w:t>
      </w:r>
    </w:p>
    <w:p>
      <w:pPr>
        <w:spacing w:after="120" w:before="0" w:line="276"/>
      </w:pPr>
      <w:r>
        <w:rPr>
          <w:rFonts w:ascii="Calibri" w:cs="Calibri" w:eastAsia="Calibri" w:hAnsi="Calibri"/>
          <w:color w:val="1A1A1A"/>
          <w:sz w:val="21"/>
          <w:szCs w:val="21"/>
        </w:rPr>
        <w:t xml:space="preserve">Funktionale Anforderungen beschreiben konkrete Funktionen und Abläufe. Sie sind eindeutig prüfbar: entweder das System kann es, oder nicht.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66AA" w:sz="6"/>
              <w:left w:val="single" w:color="0066AA" w:sz="18"/>
              <w:bottom w:val="single" w:color="0066AA" w:sz="6"/>
              <w:right w:val="single" w:color="0066AA" w:sz="6"/>
            </w:tcBorders>
            <w:shd w:fill="EEF5FB" w:color="auto" w:val="clear"/>
            <w:tcMar>
              <w:top w:type="dxa" w:w="120"/>
              <w:left w:type="dxa" w:w="160"/>
              <w:bottom w:type="dxa" w:w="120"/>
              <w:right w:type="dxa" w:w="160"/>
            </w:tcMar>
          </w:tcPr>
          <w:p>
            <w:pPr>
              <w:spacing w:after="60"/>
            </w:pPr>
            <w:r>
              <w:rPr>
                <w:rFonts w:ascii="Calibri" w:cs="Calibri" w:eastAsia="Calibri" w:hAnsi="Calibri"/>
                <w:b/>
                <w:bCs/>
                <w:color w:val="003366"/>
                <w:sz w:val="21"/>
                <w:szCs w:val="21"/>
              </w:rPr>
              <w:t xml:space="preserve">Beispiele (funktional)</w:t>
            </w:r>
          </w:p>
          <w:p>
            <w:pPr>
              <w:spacing w:after="40" w:line="264"/>
            </w:pPr>
            <w:r>
              <w:rPr>
                <w:rFonts w:ascii="Calibri" w:cs="Calibri" w:eastAsia="Calibri" w:hAnsi="Calibri"/>
                <w:color w:val="1A1A1A"/>
                <w:sz w:val="20"/>
                <w:szCs w:val="20"/>
              </w:rPr>
              <w:t xml:space="preserve">„Das System muss neue Touren automatisch dem passenden Fahrer zuordnen."</w:t>
            </w:r>
          </w:p>
          <w:p>
            <w:pPr>
              <w:spacing w:after="40" w:line="264"/>
            </w:pPr>
            <w:r>
              <w:rPr>
                <w:rFonts w:ascii="Calibri" w:cs="Calibri" w:eastAsia="Calibri" w:hAnsi="Calibri"/>
                <w:color w:val="1A1A1A"/>
                <w:sz w:val="20"/>
                <w:szCs w:val="20"/>
              </w:rPr>
              <w:t xml:space="preserve">„Der Disponent kann eine automatische Zuordnung manuell überschreiben."</w:t>
            </w:r>
          </w:p>
          <w:p>
            <w:pPr>
              <w:spacing w:after="40" w:line="264"/>
            </w:pPr>
            <w:r>
              <w:rPr>
                <w:rFonts w:ascii="Calibri" w:cs="Calibri" w:eastAsia="Calibri" w:hAnsi="Calibri"/>
                <w:color w:val="1A1A1A"/>
                <w:sz w:val="20"/>
                <w:szCs w:val="20"/>
              </w:rPr>
              <w:t xml:space="preserve">„Das System exportiert die Tagesplanung als PDF."</w:t>
            </w:r>
          </w:p>
        </w:tc>
      </w:tr>
    </w:tbl>
    <w:p>
      <w:pPr>
        <w:pStyle w:val="Heading2"/>
        <w:spacing w:after="120" w:before="280"/>
      </w:pPr>
      <w:r>
        <w:rPr>
          <w:rFonts w:ascii="Calibri" w:cs="Calibri" w:eastAsia="Calibri" w:hAnsi="Calibri"/>
          <w:b/>
          <w:bCs/>
          <w:color w:val="0066AA"/>
          <w:sz w:val="24"/>
          <w:szCs w:val="24"/>
        </w:rPr>
        <w:t xml:space="preserve">3.2  Nicht-funktionale Anforderungen — WIE GUT</w:t>
      </w:r>
    </w:p>
    <w:p>
      <w:pPr>
        <w:spacing w:after="120" w:before="0" w:line="276"/>
      </w:pPr>
      <w:r>
        <w:rPr>
          <w:rFonts w:ascii="Calibri" w:cs="Calibri" w:eastAsia="Calibri" w:hAnsi="Calibri"/>
          <w:color w:val="1A1A1A"/>
          <w:sz w:val="21"/>
          <w:szCs w:val="21"/>
        </w:rPr>
        <w:t xml:space="preserve">Nicht-funktionale Anforderungen beschreiben Qualitätseigenschaften: Performance, Sicherheit, Verfügbarkeit, Bedienbarkeit, Wartbarkeit. Sie werden häufig vergessen — und sind oft die teuersten, weil sie sich nachträglich kaum noch einbauen lassen.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66AA" w:sz="6"/>
              <w:left w:val="single" w:color="0066AA" w:sz="18"/>
              <w:bottom w:val="single" w:color="0066AA" w:sz="6"/>
              <w:right w:val="single" w:color="0066AA" w:sz="6"/>
            </w:tcBorders>
            <w:shd w:fill="EEF5FB" w:color="auto" w:val="clear"/>
            <w:tcMar>
              <w:top w:type="dxa" w:w="120"/>
              <w:left w:type="dxa" w:w="160"/>
              <w:bottom w:type="dxa" w:w="120"/>
              <w:right w:type="dxa" w:w="160"/>
            </w:tcMar>
          </w:tcPr>
          <w:p>
            <w:pPr>
              <w:spacing w:after="60"/>
            </w:pPr>
            <w:r>
              <w:rPr>
                <w:rFonts w:ascii="Calibri" w:cs="Calibri" w:eastAsia="Calibri" w:hAnsi="Calibri"/>
                <w:b/>
                <w:bCs/>
                <w:color w:val="003366"/>
                <w:sz w:val="21"/>
                <w:szCs w:val="21"/>
              </w:rPr>
              <w:t xml:space="preserve">Beispiele (nicht-funktional)</w:t>
            </w:r>
          </w:p>
          <w:p>
            <w:pPr>
              <w:spacing w:after="40" w:line="264"/>
            </w:pPr>
            <w:r>
              <w:rPr>
                <w:rFonts w:ascii="Calibri" w:cs="Calibri" w:eastAsia="Calibri" w:hAnsi="Calibri"/>
                <w:color w:val="1A1A1A"/>
                <w:sz w:val="20"/>
                <w:szCs w:val="20"/>
              </w:rPr>
              <w:t xml:space="preserve">„Die Zuordnung einer Tour erfolgt in unter zwei Sekunden."</w:t>
            </w:r>
          </w:p>
          <w:p>
            <w:pPr>
              <w:spacing w:after="40" w:line="264"/>
            </w:pPr>
            <w:r>
              <w:rPr>
                <w:rFonts w:ascii="Calibri" w:cs="Calibri" w:eastAsia="Calibri" w:hAnsi="Calibri"/>
                <w:color w:val="1A1A1A"/>
                <w:sz w:val="20"/>
                <w:szCs w:val="20"/>
              </w:rPr>
              <w:t xml:space="preserve">„Das System ist im Jahresmittel zu 99,5 % verfügbar."</w:t>
            </w:r>
          </w:p>
          <w:p>
            <w:pPr>
              <w:spacing w:after="40" w:line="264"/>
            </w:pPr>
            <w:r>
              <w:rPr>
                <w:rFonts w:ascii="Calibri" w:cs="Calibri" w:eastAsia="Calibri" w:hAnsi="Calibri"/>
                <w:color w:val="1A1A1A"/>
                <w:sz w:val="20"/>
                <w:szCs w:val="20"/>
              </w:rPr>
              <w:t xml:space="preserve">„Die Oberfläche ist ohne Schulung nach 30 Minuten bedienbar."</w:t>
            </w:r>
          </w:p>
        </w:tc>
      </w:tr>
    </w:tbl>
    <w:p>
      <w:pPr>
        <w:spacing w:after="120" w:before="60" w:line="276"/>
      </w:pPr>
      <w:r>
        <w:rPr>
          <w:rFonts w:ascii="Calibri" w:cs="Calibri" w:eastAsia="Calibri" w:hAnsi="Calibri"/>
          <w:color w:val="1A1A1A"/>
          <w:sz w:val="21"/>
          <w:szCs w:val="21"/>
        </w:rPr>
        <w:t xml:space="preserve">Achten Sie darauf, nicht-funktionale Anforderungen messbar zu formulieren. „Das System soll schnell sein" ist keine Anforderung — „unter zwei Sekunden" schon.</w:t>
      </w:r>
    </w:p>
    <w:p>
      <w:pPr>
        <w:pStyle w:val="Heading2"/>
        <w:spacing w:after="120" w:before="280"/>
      </w:pPr>
      <w:r>
        <w:rPr>
          <w:rFonts w:ascii="Calibri" w:cs="Calibri" w:eastAsia="Calibri" w:hAnsi="Calibri"/>
          <w:b/>
          <w:bCs/>
          <w:color w:val="0066AA"/>
          <w:sz w:val="24"/>
          <w:szCs w:val="24"/>
        </w:rPr>
        <w:t xml:space="preserve">3.3  Woran man eine gute Anforderung erkennt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Kriterium</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Bedeutung</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Eindeutig</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Nur eine Lesart möglich. Keine „möglichst", „in der Regel", „benutzerfreundlich".</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Vollständig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Alles Nötige ist benannt, nichts bleibt implizit.</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Widerspruchsfrei</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Passt zu allen anderen Anforderungen.</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Prüfbar</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Man kann objektiv feststellen, ob sie erfüllt ist.</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Nachvollziehbar</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Quelle und Begründung sind dokumentiert.</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Umsetzbar</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Technisch und wirtschaftlich machbar.</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4  Anforderungen priorisieren mit MoSCoW</w:t>
      </w:r>
    </w:p>
    <w:p>
      <w:pPr>
        <w:spacing w:after="120" w:before="0" w:line="276"/>
      </w:pPr>
      <w:r>
        <w:rPr>
          <w:rFonts w:ascii="Calibri" w:cs="Calibri" w:eastAsia="Calibri" w:hAnsi="Calibri"/>
          <w:color w:val="1A1A1A"/>
          <w:sz w:val="21"/>
          <w:szCs w:val="21"/>
        </w:rPr>
        <w:t xml:space="preserve">Nicht jede Anforderung ist gleich wichtig. MoSCoW ist ein einfaches Verfahren, um mit dem Kunden gemeinsam die Prioritäten festzulegen. Der Name ist ein Merkwort aus den vier Kategorien.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7126"/>
      </w:tblGrid>
      <w:tr>
        <w:trPr>
          <w:tblHeader/>
        </w:trPr>
        <w:tc>
          <w:tcPr>
            <w:tcW w:type="dxa" w:w="19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Kategorie</w:t>
            </w:r>
          </w:p>
        </w:tc>
        <w:tc>
          <w:tcPr>
            <w:tcW w:type="dxa" w:w="71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Bedeutung</w:t>
            </w:r>
          </w:p>
        </w:tc>
      </w:tr>
      <w:tr>
        <w:tc>
          <w:tcPr>
            <w:tcW w:type="dxa" w:w="19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Must have</w:t>
            </w:r>
          </w:p>
        </w:tc>
        <w:tc>
          <w:tcPr>
            <w:tcW w:type="dxa" w:w="71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Ohne diese Anforderung scheitert das Projekt. Nicht verhandelbar.</w:t>
            </w:r>
          </w:p>
        </w:tc>
      </w:tr>
      <w:tr>
        <w:tc>
          <w:tcPr>
            <w:tcW w:type="dxa" w:w="19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Should have</w:t>
            </w:r>
          </w:p>
        </w:tc>
        <w:tc>
          <w:tcPr>
            <w:tcW w:type="dxa" w:w="71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Wichtig, aber es gäbe im Notfall einen Behelf.</w:t>
            </w:r>
          </w:p>
        </w:tc>
      </w:tr>
      <w:tr>
        <w:tc>
          <w:tcPr>
            <w:tcW w:type="dxa" w:w="19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Could have</w:t>
            </w:r>
          </w:p>
        </w:tc>
        <w:tc>
          <w:tcPr>
            <w:tcW w:type="dxa" w:w="71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Wünschenswert, wenn Zeit und Budget reichen.</w:t>
            </w:r>
          </w:p>
        </w:tc>
      </w:tr>
      <w:tr>
        <w:tc>
          <w:tcPr>
            <w:tcW w:type="dxa" w:w="19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Won't have</w:t>
            </w:r>
          </w:p>
        </w:tc>
        <w:tc>
          <w:tcPr>
            <w:tcW w:type="dxa" w:w="71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Für diesen Durchlauf bewusst zurückgestellt — aber festgehalten, nicht vergessen.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Warum das wichtig ist</w:t>
            </w:r>
          </w:p>
          <w:p>
            <w:pPr>
              <w:spacing w:after="40" w:line="264"/>
            </w:pPr>
            <w:r>
              <w:rPr>
                <w:rFonts w:ascii="Calibri" w:cs="Calibri" w:eastAsia="Calibri" w:hAnsi="Calibri"/>
                <w:color w:val="1A1A1A"/>
                <w:sz w:val="20"/>
                <w:szCs w:val="20"/>
              </w:rPr>
              <w:t xml:space="preserve">Ohne Priorisierung wird jede Anforderung gleich behandelt — und bei knapper Zeit fällt Wichtiges zufällig weg.</w:t>
            </w:r>
          </w:p>
          <w:p>
            <w:pPr>
              <w:spacing w:after="40" w:line="264"/>
            </w:pPr>
            <w:r>
              <w:rPr>
                <w:rFonts w:ascii="Calibri" w:cs="Calibri" w:eastAsia="Calibri" w:hAnsi="Calibri"/>
                <w:color w:val="1A1A1A"/>
                <w:sz w:val="20"/>
                <w:szCs w:val="20"/>
              </w:rPr>
              <w:t xml:space="preserve">Die Won't-have-Kategorie schützt vor Streit: Zurückgestelltes ist dokumentiert und kann später kommen.</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5  Vom Lastenheft zum Pflichtenheft</w:t>
      </w:r>
    </w:p>
    <w:p>
      <w:pPr>
        <w:spacing w:after="120" w:before="0" w:line="276"/>
      </w:pPr>
      <w:r>
        <w:rPr>
          <w:rFonts w:ascii="Calibri" w:cs="Calibri" w:eastAsia="Calibri" w:hAnsi="Calibri"/>
          <w:color w:val="1A1A1A"/>
          <w:sz w:val="21"/>
          <w:szCs w:val="21"/>
        </w:rPr>
        <w:t xml:space="preserve">Im Kundenauftrag gibt es zwei zentrale Dokumente, die oft verwechselt werden. Der Unterschied ist prüfungsrelevant und im Berufsalltag entscheidend.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413"/>
        <w:gridCol w:w="3413"/>
      </w:tblGrid>
      <w:tr>
        <w:trPr>
          <w:tblHeader/>
        </w:trPr>
        <w:tc>
          <w:tcPr>
            <w:tcW w:type="dxa" w:w="22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34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Lastenheft</w:t>
            </w:r>
          </w:p>
        </w:tc>
        <w:tc>
          <w:tcPr>
            <w:tcW w:type="dxa" w:w="34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Pflichtenheft</w:t>
            </w:r>
          </w:p>
        </w:tc>
      </w:tr>
      <w:tr>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Von wem</w:t>
            </w:r>
          </w:p>
        </w:tc>
        <w:tc>
          <w:tcPr>
            <w:tcW w:type="dxa" w:w="34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Auftraggeber (Kunde)</w:t>
            </w:r>
          </w:p>
        </w:tc>
        <w:tc>
          <w:tcPr>
            <w:tcW w:type="dxa" w:w="34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Auftragnehmer (wir)</w:t>
            </w:r>
          </w:p>
        </w:tc>
      </w:tr>
      <w:tr>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Beschreibt</w:t>
            </w:r>
          </w:p>
        </w:tc>
        <w:tc>
          <w:tcPr>
            <w:tcW w:type="dxa" w:w="34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das WAS und WOFÜR</w:t>
            </w:r>
          </w:p>
        </w:tc>
        <w:tc>
          <w:tcPr>
            <w:tcW w:type="dxa" w:w="34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das WIE — die Umsetzung</w:t>
            </w:r>
          </w:p>
        </w:tc>
      </w:tr>
      <w:tr>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Sichtweise</w:t>
            </w:r>
          </w:p>
        </w:tc>
        <w:tc>
          <w:tcPr>
            <w:tcW w:type="dxa" w:w="34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Anforderungen des Kunden</w:t>
            </w:r>
          </w:p>
        </w:tc>
        <w:tc>
          <w:tcPr>
            <w:tcW w:type="dxa" w:w="34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Lösung des Auftragnehmers</w:t>
            </w:r>
          </w:p>
        </w:tc>
      </w:tr>
      <w:tr>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Verbindlichkeit</w:t>
            </w:r>
          </w:p>
        </w:tc>
        <w:tc>
          <w:tcPr>
            <w:tcW w:type="dxa" w:w="34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Grundlage der Ausschreibung</w:t>
            </w:r>
          </w:p>
        </w:tc>
        <w:tc>
          <w:tcPr>
            <w:tcW w:type="dxa" w:w="34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verbindlich, Basis für Abnahme</w:t>
            </w:r>
          </w:p>
        </w:tc>
      </w:tr>
    </w:tbl>
    <w:p>
      <w:pPr>
        <w:spacing w:after="120" w:before="120" w:line="276"/>
      </w:pPr>
      <w:r>
        <w:rPr>
          <w:rFonts w:ascii="Calibri" w:cs="Calibri" w:eastAsia="Calibri" w:hAnsi="Calibri"/>
          <w:color w:val="1A1A1A"/>
          <w:sz w:val="21"/>
          <w:szCs w:val="21"/>
        </w:rPr>
        <w:t xml:space="preserve">Das Lastenheft kommt vom Kunden und beschreibt lösungsoffen, was er braucht. Das Pflichtenheft ist unsere Antwort darauf: Wir beschreiben konkret, wie wir es umsetzen. Es ist verbindlich und dient später als Grundlage für die Abnahme und den Vertrag.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Merksatz</w:t>
            </w:r>
          </w:p>
          <w:p>
            <w:pPr>
              <w:spacing w:after="40" w:line="264"/>
            </w:pPr>
            <w:r>
              <w:rPr>
                <w:rFonts w:ascii="Calibri" w:cs="Calibri" w:eastAsia="Calibri" w:hAnsi="Calibri"/>
                <w:color w:val="1A1A1A"/>
                <w:sz w:val="20"/>
                <w:szCs w:val="20"/>
              </w:rPr>
              <w:t xml:space="preserve">Was nicht im Pflichtenheft steht, schulden Sie später nicht — und bekommen es auch nicht bezahlt. Deshalb: vollständig sein.</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6  Abläufe modellieren mit UML</w:t>
      </w:r>
    </w:p>
    <w:p>
      <w:pPr>
        <w:spacing w:after="120" w:before="0" w:line="276"/>
      </w:pPr>
      <w:r>
        <w:rPr>
          <w:rFonts w:ascii="Calibri" w:cs="Calibri" w:eastAsia="Calibri" w:hAnsi="Calibri"/>
          <w:color w:val="1A1A1A"/>
          <w:sz w:val="21"/>
          <w:szCs w:val="21"/>
        </w:rPr>
        <w:t xml:space="preserve">Zwei UML-Diagrammarten helfen, Anforderungen sichtbar zu machen und mit dem Kunden abzustimmen.</w:t>
      </w:r>
    </w:p>
    <w:p>
      <w:pPr>
        <w:pStyle w:val="Heading2"/>
        <w:spacing w:after="120" w:before="280"/>
      </w:pPr>
      <w:r>
        <w:rPr>
          <w:rFonts w:ascii="Calibri" w:cs="Calibri" w:eastAsia="Calibri" w:hAnsi="Calibri"/>
          <w:b/>
          <w:bCs/>
          <w:color w:val="0066AA"/>
          <w:sz w:val="24"/>
          <w:szCs w:val="24"/>
        </w:rPr>
        <w:t xml:space="preserve">6.1  Use-Case-Diagramm — wer nutzt was</w:t>
      </w:r>
    </w:p>
    <w:p>
      <w:pPr>
        <w:spacing w:after="120" w:before="0" w:line="276"/>
      </w:pPr>
      <w:r>
        <w:rPr>
          <w:rFonts w:ascii="Calibri" w:cs="Calibri" w:eastAsia="Calibri" w:hAnsi="Calibri"/>
          <w:color w:val="1A1A1A"/>
          <w:sz w:val="21"/>
          <w:szCs w:val="21"/>
        </w:rPr>
        <w:t xml:space="preserve">Das Use-Case-Diagramm zeigt die Systemgrenze, die Akteure und deren Anwendungsfälle. Es eignet sich, um früh mit dem Kunden den Umfang abzustecken.</w:t>
      </w:r>
    </w:p>
    <w:p>
      <w:pPr>
        <w:pStyle w:val="ListParagraph"/>
        <w:numPr>
          <w:ilvl w:val="0"/>
          <w:numId w:val="2"/>
        </w:numPr>
        <w:spacing w:after="70" w:line="270"/>
      </w:pPr>
      <w:r>
        <w:rPr>
          <w:rFonts w:ascii="Calibri" w:cs="Calibri" w:eastAsia="Calibri" w:hAnsi="Calibri"/>
          <w:color w:val="1A1A1A"/>
          <w:sz w:val="21"/>
          <w:szCs w:val="21"/>
        </w:rPr>
        <w:t xml:space="preserve">Akteur: eine Person oder ein Fremdsystem, das mit dem System interagiert (als Strichmännchen dargestellt).</w:t>
      </w:r>
    </w:p>
    <w:p>
      <w:pPr>
        <w:pStyle w:val="ListParagraph"/>
        <w:numPr>
          <w:ilvl w:val="0"/>
          <w:numId w:val="2"/>
        </w:numPr>
        <w:spacing w:after="70" w:line="270"/>
      </w:pPr>
      <w:r>
        <w:rPr>
          <w:rFonts w:ascii="Calibri" w:cs="Calibri" w:eastAsia="Calibri" w:hAnsi="Calibri"/>
          <w:color w:val="1A1A1A"/>
          <w:sz w:val="21"/>
          <w:szCs w:val="21"/>
        </w:rPr>
        <w:t xml:space="preserve">Use Case: eine fachliche Funktion aus Nutzersicht (Ellipse).</w:t>
      </w:r>
    </w:p>
    <w:p>
      <w:pPr>
        <w:pStyle w:val="ListParagraph"/>
        <w:numPr>
          <w:ilvl w:val="0"/>
          <w:numId w:val="2"/>
        </w:numPr>
        <w:spacing w:after="70" w:line="270"/>
      </w:pPr>
      <w:r>
        <w:rPr>
          <w:rFonts w:ascii="Calibri" w:cs="Calibri" w:eastAsia="Calibri" w:hAnsi="Calibri"/>
          <w:color w:val="1A1A1A"/>
          <w:sz w:val="21"/>
          <w:szCs w:val="21"/>
        </w:rPr>
        <w:t xml:space="preserve">Systemgrenze: ein Rechteck um alles, was wir bauen.</w:t>
      </w:r>
    </w:p>
    <w:p>
      <w:pPr>
        <w:pStyle w:val="ListParagraph"/>
        <w:numPr>
          <w:ilvl w:val="0"/>
          <w:numId w:val="2"/>
        </w:numPr>
        <w:spacing w:after="70" w:line="270"/>
      </w:pPr>
      <w:r>
        <w:rPr>
          <w:rFonts w:ascii="Calibri" w:cs="Calibri" w:eastAsia="Calibri" w:hAnsi="Calibri"/>
          <w:color w:val="1A1A1A"/>
          <w:sz w:val="21"/>
          <w:szCs w:val="21"/>
        </w:rPr>
        <w:t xml:space="preserve">«include»: ein Use Case ruft immer einen anderen mit auf (gestrichelter Pfeil).</w:t>
      </w:r>
    </w:p>
    <w:p>
      <w:pPr>
        <w:pStyle w:val="ListParagraph"/>
        <w:numPr>
          <w:ilvl w:val="0"/>
          <w:numId w:val="2"/>
        </w:numPr>
        <w:spacing w:after="70" w:line="270"/>
      </w:pPr>
      <w:r>
        <w:rPr>
          <w:rFonts w:ascii="Calibri" w:cs="Calibri" w:eastAsia="Calibri" w:hAnsi="Calibri"/>
          <w:color w:val="1A1A1A"/>
          <w:sz w:val="21"/>
          <w:szCs w:val="21"/>
        </w:rPr>
        <w:t xml:space="preserve">«extend»: eine optionale Erweiterung eines Use Case (gestrichelter Pfeil).</w:t>
      </w:r>
    </w:p>
    <w:p>
      <w:pPr>
        <w:pStyle w:val="Heading2"/>
        <w:spacing w:after="120" w:before="280"/>
      </w:pPr>
      <w:r>
        <w:rPr>
          <w:rFonts w:ascii="Calibri" w:cs="Calibri" w:eastAsia="Calibri" w:hAnsi="Calibri"/>
          <w:b/>
          <w:bCs/>
          <w:color w:val="0066AA"/>
          <w:sz w:val="24"/>
          <w:szCs w:val="24"/>
        </w:rPr>
        <w:t xml:space="preserve">6.2  Aktivitätsdiagramm — der Ablauf</w:t>
      </w:r>
    </w:p>
    <w:p>
      <w:pPr>
        <w:spacing w:after="120" w:before="0" w:line="276"/>
      </w:pPr>
      <w:r>
        <w:rPr>
          <w:rFonts w:ascii="Calibri" w:cs="Calibri" w:eastAsia="Calibri" w:hAnsi="Calibri"/>
          <w:color w:val="1A1A1A"/>
          <w:sz w:val="21"/>
          <w:szCs w:val="21"/>
        </w:rPr>
        <w:t xml:space="preserve">Das Aktivitätsdiagramm modelliert Abläufe mit Aktionen, Verzweigungen und Parallelität. Es liest sich wie ein Flussdiagramm:</w:t>
      </w:r>
    </w:p>
    <w:p>
      <w:pPr>
        <w:pStyle w:val="ListParagraph"/>
        <w:numPr>
          <w:ilvl w:val="0"/>
          <w:numId w:val="2"/>
        </w:numPr>
        <w:spacing w:after="70" w:line="270"/>
      </w:pPr>
      <w:r>
        <w:rPr>
          <w:rFonts w:ascii="Calibri" w:cs="Calibri" w:eastAsia="Calibri" w:hAnsi="Calibri"/>
          <w:color w:val="1A1A1A"/>
          <w:sz w:val="21"/>
          <w:szCs w:val="21"/>
        </w:rPr>
        <w:t xml:space="preserve">Startknoten: ausgefüllter Kreis.</w:t>
      </w:r>
    </w:p>
    <w:p>
      <w:pPr>
        <w:pStyle w:val="ListParagraph"/>
        <w:numPr>
          <w:ilvl w:val="0"/>
          <w:numId w:val="2"/>
        </w:numPr>
        <w:spacing w:after="70" w:line="270"/>
      </w:pPr>
      <w:r>
        <w:rPr>
          <w:rFonts w:ascii="Calibri" w:cs="Calibri" w:eastAsia="Calibri" w:hAnsi="Calibri"/>
          <w:color w:val="1A1A1A"/>
          <w:sz w:val="21"/>
          <w:szCs w:val="21"/>
        </w:rPr>
        <w:t xml:space="preserve">Aktion: Rechteck mit abgerundeten Ecken.</w:t>
      </w:r>
    </w:p>
    <w:p>
      <w:pPr>
        <w:pStyle w:val="ListParagraph"/>
        <w:numPr>
          <w:ilvl w:val="0"/>
          <w:numId w:val="2"/>
        </w:numPr>
        <w:spacing w:after="70" w:line="270"/>
      </w:pPr>
      <w:r>
        <w:rPr>
          <w:rFonts w:ascii="Calibri" w:cs="Calibri" w:eastAsia="Calibri" w:hAnsi="Calibri"/>
          <w:color w:val="1A1A1A"/>
          <w:sz w:val="21"/>
          <w:szCs w:val="21"/>
        </w:rPr>
        <w:t xml:space="preserve">Entscheidung: Raute; die Bedingungen stehen an den ausgehenden Kanten.</w:t>
      </w:r>
    </w:p>
    <w:p>
      <w:pPr>
        <w:pStyle w:val="ListParagraph"/>
        <w:numPr>
          <w:ilvl w:val="0"/>
          <w:numId w:val="2"/>
        </w:numPr>
        <w:spacing w:after="70" w:line="270"/>
      </w:pPr>
      <w:r>
        <w:rPr>
          <w:rFonts w:ascii="Calibri" w:cs="Calibri" w:eastAsia="Calibri" w:hAnsi="Calibri"/>
          <w:color w:val="1A1A1A"/>
          <w:sz w:val="21"/>
          <w:szCs w:val="21"/>
        </w:rPr>
        <w:t xml:space="preserve">Endknoten: Kreis mit Ring.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AP2-Hinweis</w:t>
            </w:r>
          </w:p>
          <w:p>
            <w:pPr>
              <w:spacing w:after="40" w:line="264"/>
            </w:pPr>
            <w:r>
              <w:rPr>
                <w:rFonts w:ascii="Calibri" w:cs="Calibri" w:eastAsia="Calibri" w:hAnsi="Calibri"/>
                <w:color w:val="1A1A1A"/>
                <w:sz w:val="20"/>
                <w:szCs w:val="20"/>
              </w:rPr>
              <w:t xml:space="preserve">Das Aktivitätsdiagramm hat in der IHK-Prüfung PAP und Struktogramm abgelöst.</w:t>
            </w:r>
          </w:p>
          <w:p>
            <w:pPr>
              <w:spacing w:after="40" w:line="264"/>
            </w:pPr>
            <w:r>
              <w:rPr>
                <w:rFonts w:ascii="Calibri" w:cs="Calibri" w:eastAsia="Calibri" w:hAnsi="Calibri"/>
                <w:color w:val="1A1A1A"/>
                <w:sz w:val="20"/>
                <w:szCs w:val="20"/>
              </w:rPr>
              <w:t xml:space="preserve">Es ist in beiden Fachrichtungen ein häufiger Aufgabentyp. Üben Sie das Zeichnen aktiv — es reicht nicht, es zu erkennen.</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7  Wenn sich Anforderungen ändern</w:t>
      </w:r>
    </w:p>
    <w:p>
      <w:pPr>
        <w:spacing w:after="120" w:before="0" w:line="276"/>
      </w:pPr>
      <w:r>
        <w:rPr>
          <w:rFonts w:ascii="Calibri" w:cs="Calibri" w:eastAsia="Calibri" w:hAnsi="Calibri"/>
          <w:color w:val="1A1A1A"/>
          <w:sz w:val="21"/>
          <w:szCs w:val="21"/>
        </w:rPr>
        <w:t xml:space="preserve">Anforderungen ändern sich im Projektverlauf fast immer. Kunden merken oft erst, wenn sie einen ersten Entwurf sehen, was sie eigentlich brauchen. Das ist normal — es muss nur geordnet ablaufen.</w:t>
      </w:r>
    </w:p>
    <w:p>
      <w:pPr>
        <w:pStyle w:val="ListParagraph"/>
        <w:numPr>
          <w:ilvl w:val="0"/>
          <w:numId w:val="2"/>
        </w:numPr>
        <w:spacing w:after="70" w:line="270"/>
      </w:pPr>
      <w:r>
        <w:rPr>
          <w:rFonts w:ascii="Calibri" w:cs="Calibri" w:eastAsia="Calibri" w:hAnsi="Calibri"/>
          <w:color w:val="1A1A1A"/>
          <w:sz w:val="21"/>
          <w:szCs w:val="21"/>
        </w:rPr>
        <w:t xml:space="preserve">Jede Änderung wird als Change Request erfasst, nicht „mal eben" zwischendurch umgesetzt.</w:t>
      </w:r>
    </w:p>
    <w:p>
      <w:pPr>
        <w:pStyle w:val="ListParagraph"/>
        <w:numPr>
          <w:ilvl w:val="0"/>
          <w:numId w:val="2"/>
        </w:numPr>
        <w:spacing w:after="70" w:line="270"/>
      </w:pPr>
      <w:r>
        <w:rPr>
          <w:rFonts w:ascii="Calibri" w:cs="Calibri" w:eastAsia="Calibri" w:hAnsi="Calibri"/>
          <w:color w:val="1A1A1A"/>
          <w:sz w:val="21"/>
          <w:szCs w:val="21"/>
        </w:rPr>
        <w:t xml:space="preserve">Jeder Change Request wird bewertet: Aufwand, Auswirkung auf Termin und Preis.</w:t>
      </w:r>
    </w:p>
    <w:p>
      <w:pPr>
        <w:pStyle w:val="ListParagraph"/>
        <w:numPr>
          <w:ilvl w:val="0"/>
          <w:numId w:val="2"/>
        </w:numPr>
        <w:spacing w:after="70" w:line="270"/>
      </w:pPr>
      <w:r>
        <w:rPr>
          <w:rFonts w:ascii="Calibri" w:cs="Calibri" w:eastAsia="Calibri" w:hAnsi="Calibri"/>
          <w:color w:val="1A1A1A"/>
          <w:sz w:val="21"/>
          <w:szCs w:val="21"/>
        </w:rPr>
        <w:t xml:space="preserve">Die Freigabe erfolgt schriftlich durch den Auftraggeber.</w:t>
      </w:r>
    </w:p>
    <w:p>
      <w:pPr>
        <w:spacing w:after="120" w:before="60" w:line="276"/>
      </w:pPr>
      <w:r>
        <w:rPr>
          <w:rFonts w:ascii="Calibri" w:cs="Calibri" w:eastAsia="Calibri" w:hAnsi="Calibri"/>
          <w:color w:val="1A1A1A"/>
          <w:sz w:val="21"/>
          <w:szCs w:val="21"/>
        </w:rPr>
        <w:t xml:space="preserve">Das unkontrollierte Anwachsen des Umfangs — „Scope Creep" — ist einer der leisesten Projektkiller. Jede kleine Zusatzbitte klingt harmlos; in Summe sprengen sie Termin und Budget.</w:t>
      </w:r>
    </w:p>
    <w:p>
      <w:pPr>
        <w:pStyle w:val="Heading2"/>
        <w:spacing w:after="120" w:before="280"/>
      </w:pPr>
      <w:r>
        <w:rPr>
          <w:rFonts w:ascii="Calibri" w:cs="Calibri" w:eastAsia="Calibri" w:hAnsi="Calibri"/>
          <w:b/>
          <w:bCs/>
          <w:color w:val="0066AA"/>
          <w:sz w:val="24"/>
          <w:szCs w:val="24"/>
        </w:rPr>
        <w:t xml:space="preserve">7.1  Nachverfolgbarkeit</w:t>
      </w:r>
    </w:p>
    <w:p>
      <w:pPr>
        <w:spacing w:after="120" w:before="0" w:line="276"/>
      </w:pPr>
      <w:r>
        <w:rPr>
          <w:rFonts w:ascii="Calibri" w:cs="Calibri" w:eastAsia="Calibri" w:hAnsi="Calibri"/>
          <w:color w:val="1A1A1A"/>
          <w:sz w:val="21"/>
          <w:szCs w:val="21"/>
        </w:rPr>
        <w:t xml:space="preserve">Jede Anforderung bekommt eine eindeutige Kennung (ID) und wird von ihrer Quelle über die Umsetzung bis zum Test verfolgbar gehalten. So lässt sich jederzeit beantworten: Ist alles umgesetzt? Und warum gibt es diese Funktion überhaupt? Das ist die Grundlage für die Abnahme und für die spätere Wartung.</w:t>
      </w:r>
    </w:p>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8  Zusammenfassung</w:t>
      </w:r>
    </w:p>
    <w:p>
      <w:pPr>
        <w:pStyle w:val="ListParagraph"/>
        <w:numPr>
          <w:ilvl w:val="0"/>
          <w:numId w:val="2"/>
        </w:numPr>
        <w:spacing w:after="70" w:line="270"/>
      </w:pPr>
      <w:r>
        <w:rPr>
          <w:rFonts w:ascii="Calibri" w:cs="Calibri" w:eastAsia="Calibri" w:hAnsi="Calibri"/>
          <w:color w:val="1A1A1A"/>
          <w:sz w:val="21"/>
          <w:szCs w:val="21"/>
        </w:rPr>
        <w:t xml:space="preserve">Die Anforderungsanalyse entscheidet über Erfolg oder Scheitern des ganzen Auftrags.</w:t>
      </w:r>
    </w:p>
    <w:p>
      <w:pPr>
        <w:pStyle w:val="ListParagraph"/>
        <w:numPr>
          <w:ilvl w:val="0"/>
          <w:numId w:val="2"/>
        </w:numPr>
        <w:spacing w:after="70" w:line="270"/>
      </w:pPr>
      <w:r>
        <w:rPr>
          <w:rFonts w:ascii="Calibri" w:cs="Calibri" w:eastAsia="Calibri" w:hAnsi="Calibri"/>
          <w:color w:val="1A1A1A"/>
          <w:sz w:val="21"/>
          <w:szCs w:val="21"/>
        </w:rPr>
        <w:t xml:space="preserve">Erst verstehen, dann anbieten — nie umgekehrt.</w:t>
      </w:r>
    </w:p>
    <w:p>
      <w:pPr>
        <w:pStyle w:val="ListParagraph"/>
        <w:numPr>
          <w:ilvl w:val="0"/>
          <w:numId w:val="2"/>
        </w:numPr>
        <w:spacing w:after="70" w:line="270"/>
      </w:pPr>
      <w:r>
        <w:rPr>
          <w:rFonts w:ascii="Calibri" w:cs="Calibri" w:eastAsia="Calibri" w:hAnsi="Calibri"/>
          <w:color w:val="1A1A1A"/>
          <w:sz w:val="21"/>
          <w:szCs w:val="21"/>
        </w:rPr>
        <w:t xml:space="preserve">Funktionale (was) und nicht-funktionale (wie gut) Anforderungen sauber trennen und messbar formulieren.</w:t>
      </w:r>
    </w:p>
    <w:p>
      <w:pPr>
        <w:pStyle w:val="ListParagraph"/>
        <w:numPr>
          <w:ilvl w:val="0"/>
          <w:numId w:val="2"/>
        </w:numPr>
        <w:spacing w:after="70" w:line="270"/>
      </w:pPr>
      <w:r>
        <w:rPr>
          <w:rFonts w:ascii="Calibri" w:cs="Calibri" w:eastAsia="Calibri" w:hAnsi="Calibri"/>
          <w:color w:val="1A1A1A"/>
          <w:sz w:val="21"/>
          <w:szCs w:val="21"/>
        </w:rPr>
        <w:t xml:space="preserve">Mit MoSCoW priorisieren schafft Klarheit über das wirklich Nötige.</w:t>
      </w:r>
    </w:p>
    <w:p>
      <w:pPr>
        <w:pStyle w:val="ListParagraph"/>
        <w:numPr>
          <w:ilvl w:val="0"/>
          <w:numId w:val="2"/>
        </w:numPr>
        <w:spacing w:after="70" w:line="270"/>
      </w:pPr>
      <w:r>
        <w:rPr>
          <w:rFonts w:ascii="Calibri" w:cs="Calibri" w:eastAsia="Calibri" w:hAnsi="Calibri"/>
          <w:color w:val="1A1A1A"/>
          <w:sz w:val="21"/>
          <w:szCs w:val="21"/>
        </w:rPr>
        <w:t xml:space="preserve">Lastenheft kommt vom Kunden, Pflichtenheft von uns — und ist verbindlich.</w:t>
      </w:r>
    </w:p>
    <w:p>
      <w:pPr>
        <w:pStyle w:val="ListParagraph"/>
        <w:numPr>
          <w:ilvl w:val="0"/>
          <w:numId w:val="2"/>
        </w:numPr>
        <w:spacing w:after="70" w:line="270"/>
      </w:pPr>
      <w:r>
        <w:rPr>
          <w:rFonts w:ascii="Calibri" w:cs="Calibri" w:eastAsia="Calibri" w:hAnsi="Calibri"/>
          <w:color w:val="1A1A1A"/>
          <w:sz w:val="21"/>
          <w:szCs w:val="21"/>
        </w:rPr>
        <w:t xml:space="preserve">Use-Case- und Aktivitätsdiagramm beherrschen; das Aktivitätsdiagramm ist AP2-relevant.</w:t>
      </w:r>
    </w:p>
    <w:p>
      <w:pPr>
        <w:pStyle w:val="Heading1"/>
        <w:pBdr>
          <w:bottom w:val="single" w:color="F0A500" w:sz="12" w:space="4"/>
        </w:pBdr>
        <w:spacing w:after="180" w:before="360"/>
      </w:pPr>
      <w:r>
        <w:rPr>
          <w:rFonts w:ascii="Calibri" w:cs="Calibri" w:eastAsia="Calibri" w:hAnsi="Calibri"/>
          <w:b/>
          <w:bCs/>
          <w:color w:val="003366"/>
          <w:sz w:val="30"/>
          <w:szCs w:val="30"/>
        </w:rPr>
        <w:t xml:space="preserve">9  Fallstudie Nordfracht Logistik GmbH</w:t>
      </w:r>
    </w:p>
    <w:p>
      <w:pPr>
        <w:spacing w:after="120" w:before="0" w:line="276"/>
      </w:pPr>
      <w:r>
        <w:rPr>
          <w:rFonts w:ascii="Calibri" w:cs="Calibri" w:eastAsia="Calibri" w:hAnsi="Calibri"/>
          <w:color w:val="1A1A1A"/>
          <w:sz w:val="21"/>
          <w:szCs w:val="21"/>
        </w:rPr>
        <w:t xml:space="preserve">Die Nordfracht Logistik GmbH plant ihre Touren heute auf Papier. Fahrer erhalten morgens Zettel, Änderungen laufen per Telefon. Die Geschäftsführung möchte eine digitale Tourenplanung — weiß aber nur grob, was sie braucht. Sie sind das beauftragte IT-Unternehmen und führen das Erstgespräch.</w:t>
      </w:r>
    </w:p>
    <w:p>
      <w:pPr>
        <w:spacing w:after="120" w:before="0" w:line="276"/>
      </w:pPr>
      <w:r>
        <w:rPr>
          <w:rFonts w:ascii="Calibri" w:cs="Calibri" w:eastAsia="Calibri" w:hAnsi="Calibri"/>
          <w:i/>
          <w:iCs/>
          <w:color w:val="444444"/>
          <w:sz w:val="21"/>
          <w:szCs w:val="21"/>
        </w:rPr>
        <w:t xml:space="preserve">Diese Fallstudie begleitet Sie durch die gesamte Etappe. Die zugehörigen Aufgaben finden Sie im Aufgabenheft.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Handout E1 · Kundenauftrag und Anforderungsanalyse</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lvl w:ilvl="1" w15:tentative="1">
      <w:start w:val="1"/>
      <w:numFmt w:val="bullet"/>
      <w:lvlText w:val="–"/>
      <w:lvlJc w:val="left"/>
      <w:pPr>
        <w:ind w:left="720" w:hanging="220"/>
      </w:pPr>
      <w:rPr>
        <w:color w:val="0066AA"/>
      </w:rPr>
    </w:lvl>
  </w:abstractNum>
  <w:abstractNum w:abstractNumId="3" w15:restartNumberingAfterBreak="0">
    <w:multiLevelType w:val="hybridMultilevel"/>
    <w:lvl w:ilvl="0" w15:tentative="1">
      <w:start w:val="1"/>
      <w:numFmt w:val="decimal"/>
      <w:lvlText w:val="%1."/>
      <w:lvlJc w:val="left"/>
      <w:pPr>
        <w:ind w:left="40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E1 — Kundenauftrag und Anforderungsanalyse</dc:title>
  <dc:creator>bfw Lübeck</dc:creator>
  <cp:lastModifiedBy>Un-named</cp:lastModifiedBy>
  <cp:revision>1</cp:revision>
  <dcterms:created xsi:type="dcterms:W3CDTF">2026-07-26T16:03:19.401Z</dcterms:created>
  <dcterms:modified xsi:type="dcterms:W3CDTF">2026-07-26T16:03:19.412Z</dcterms:modified>
</cp:coreProperties>
</file>

<file path=docProps/custom.xml><?xml version="1.0" encoding="utf-8"?>
<Properties xmlns="http://schemas.openxmlformats.org/officeDocument/2006/custom-properties" xmlns:vt="http://schemas.openxmlformats.org/officeDocument/2006/docPropsVTypes"/>
</file>