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 · E1</w:t>
      </w:r>
    </w:p>
    <w:p>
      <w:pPr>
        <w:pBdr>
          <w:bottom w:val="single" w:color="F0A500" w:sz="18" w:space="6"/>
        </w:pBdr>
        <w:spacing w:after="60"/>
      </w:pPr>
      <w:r>
        <w:rPr>
          <w:rFonts w:ascii="Calibri" w:cs="Calibri" w:eastAsia="Calibri" w:hAnsi="Calibri"/>
          <w:b/>
          <w:bCs/>
          <w:color w:val="003366"/>
          <w:sz w:val="34"/>
          <w:szCs w:val="34"/>
        </w:rPr>
        <w:t xml:space="preserve">Aufgabenheft E1</w:t>
      </w:r>
    </w:p>
    <w:p>
      <w:pPr>
        <w:spacing w:after="200" w:before="120" w:line="276"/>
      </w:pPr>
      <w:r>
        <w:rPr>
          <w:rFonts w:ascii="Calibri" w:cs="Calibri" w:eastAsia="Calibri" w:hAnsi="Calibri"/>
          <w:i/>
          <w:iCs/>
          <w:color w:val="444444"/>
          <w:sz w:val="23"/>
          <w:szCs w:val="23"/>
        </w:rPr>
        <w:t xml:space="preserve">Kundenauftrag und Anforderungsanalyse — Fallstudie Nordfracht Logistik GmbH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20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Name</w:t>
            </w:r>
          </w:p>
        </w:tc>
        <w:tc>
          <w:tcPr>
            <w:tcW w:type="dxa" w:w="4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2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4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2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____ / 100</w:t>
            </w:r>
          </w:p>
        </w:tc>
      </w:tr>
    </w:tbl>
    <w:p>
      <w:pPr>
        <w:spacing w:after="120" w:before="160" w:line="276"/>
      </w:pPr>
      <w:r>
        <w:rPr>
          <w:rFonts w:ascii="Calibri" w:cs="Calibri" w:eastAsia="Calibri" w:hAnsi="Calibri"/>
          <w:i/>
          <w:iCs/>
          <w:color w:val="444444"/>
          <w:sz w:val="20"/>
          <w:szCs w:val="20"/>
        </w:rPr>
        <w:t xml:space="preserve">Bearbeitungshinweis: Beziehen Sie Ihre Antworten auf die Fallstudie Nordfracht. Erreichbare Punkte stehen an jeder Aufgabe. Gesamt: 100 Punkte.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trPr>
        <w:tc>
          <w:tcPr>
            <w:tcW w:type="dxa" w:w="9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Ausgangssituation Nordfracht Logistik GmbH</w:t>
            </w:r>
          </w:p>
        </w:tc>
      </w:tr>
      <w:tr>
        <w:tc>
          <w:tcPr>
            <w:tcW w:type="dxa" w:w="9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Nordfracht Logistik GmbH (Sitz Lübeck) plant ihre Fahrer-Touren bislang auf Papier. Der Disponent verteilt morgens Zettel, kurzfristige Änderungen laufen telefonisch. Bei Krankheit oder Stau entsteht Chaos. Die Geschäftsführung möchte eine digitale Tourenplanung, hat aber keine genaue Vorstellung vom Umfang. Sie sind das beauftragte IT-Unternehmen.</w:t>
            </w:r>
          </w:p>
        </w:tc>
      </w:tr>
    </w:tbl>
    <w:p>
      <w:pPr>
        <w:spacing w:after="1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1  </w:t>
            </w:r>
            <w:r>
              <w:rPr>
                <w:rFonts w:ascii="Calibri" w:cs="Calibri" w:eastAsia="Calibri" w:hAnsi="Calibri"/>
                <w:b/>
                <w:bCs/>
                <w:color w:val="FFFFFF"/>
                <w:sz w:val="23"/>
                <w:szCs w:val="23"/>
              </w:rPr>
              <w:t xml:space="preserve">Stakeholder-Analyse</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Benennen Sie vier Stakeholder des Nordfracht-Projekts und geben Sie zu jedem an, welches Interesse er am neuen System hat.</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2  </w:t>
            </w:r>
            <w:r>
              <w:rPr>
                <w:rFonts w:ascii="Calibri" w:cs="Calibri" w:eastAsia="Calibri" w:hAnsi="Calibri"/>
                <w:b/>
                <w:bCs/>
                <w:color w:val="FFFFFF"/>
                <w:sz w:val="23"/>
                <w:szCs w:val="23"/>
              </w:rPr>
              <w:t xml:space="preserve">Gesprächsleitfaden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Formulieren Sie fünf offene Fragen für das Erstgespräch mit der Geschäftsführung. Achten Sie darauf, dass die Fragen nicht mit Ja oder Nein beantwortbar sind.</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3  </w:t>
            </w:r>
            <w:r>
              <w:rPr>
                <w:rFonts w:ascii="Calibri" w:cs="Calibri" w:eastAsia="Calibri" w:hAnsi="Calibri"/>
                <w:b/>
                <w:bCs/>
                <w:color w:val="FFFFFF"/>
                <w:sz w:val="23"/>
                <w:szCs w:val="23"/>
              </w:rPr>
              <w:t xml:space="preserve">Anforderungen gliedern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die folgenden sechs Anforderungen jeweils als funktional (F) oder nicht-funktional (NF) ein und begründen Sie kurz.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Anforderung</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Das System ordnet neue Touren automatisch einem freien Fahrer zu.</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Zuordnung erfolgt in weniger als zwei Sekunden.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Der Disponent kann eine Zuordnung manuell ändern.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Das System ist zu 99,5 % im Jahresmittel verfügbar.</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Fahrer sehen ihre Tour auf dem Smartphone.</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Oberfläche ist ohne Schulung in 30 Minuten bedienbar.</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4  </w:t>
            </w:r>
            <w:r>
              <w:rPr>
                <w:rFonts w:ascii="Calibri" w:cs="Calibri" w:eastAsia="Calibri" w:hAnsi="Calibri"/>
                <w:b/>
                <w:bCs/>
                <w:color w:val="FFFFFF"/>
                <w:sz w:val="23"/>
                <w:szCs w:val="23"/>
              </w:rPr>
              <w:t xml:space="preserve">Anforderungsqualität</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Die folgenden drei Anforderungen sind mangelhaft formuliert. Nennen Sie je den Mangel und formulieren Sie die Anforderung besser.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Anforderung</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Das System soll möglichst schnell sein.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b</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Oberfläche muss benutzerfreundlich sein.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c</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Touren werden in der Regel automatisch zugeordnet.</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5  </w:t>
            </w:r>
            <w:r>
              <w:rPr>
                <w:rFonts w:ascii="Calibri" w:cs="Calibri" w:eastAsia="Calibri" w:hAnsi="Calibri"/>
                <w:b/>
                <w:bCs/>
                <w:color w:val="FFFFFF"/>
                <w:sz w:val="23"/>
                <w:szCs w:val="23"/>
              </w:rPr>
              <w:t xml:space="preserve">MoSCoW-Priorisierung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die vier Anforderungen einer MoSCoW-Kategorie zu und begründen Sie Ihre Entscheidung jeweils mit einem Satz.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Anforderung</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Automatische Tourzuordnung.</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Anzeige der Tour auf dem Fahrer-Smartphone.</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Statistik-Auswertung der gefahrenen Kilometer pro Monat.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Sprachsteuerung für die Disposition.</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6  </w:t>
            </w:r>
            <w:r>
              <w:rPr>
                <w:rFonts w:ascii="Calibri" w:cs="Calibri" w:eastAsia="Calibri" w:hAnsi="Calibri"/>
                <w:b/>
                <w:bCs/>
                <w:color w:val="FFFFFF"/>
                <w:sz w:val="23"/>
                <w:szCs w:val="23"/>
              </w:rPr>
              <w:t xml:space="preserve">Vom Lastenheft zum Pflichtenheft</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Aus dem Lastenheft von Nordfracht stammt folgender Auszug: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trPr>
        <w:tc>
          <w:tcPr>
            <w:tcW w:type="dxa" w:w="9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Lastenheft-Auszug (Kunde)</w:t>
            </w:r>
          </w:p>
        </w:tc>
      </w:tr>
      <w:tr>
        <w:tc>
          <w:tcPr>
            <w:tcW w:type="dxa" w:w="9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L-1: Die Fahrer sollen ihre Tour digital einsehen können.</w:t>
            </w:r>
          </w:p>
        </w:tc>
      </w:tr>
      <w:tr>
        <w:tc>
          <w:tcPr>
            <w:tcW w:type="dxa" w:w="90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L-2: Änderungen an einer Tour müssen den Fahrer schnell erreichen.</w:t>
            </w:r>
          </w:p>
        </w:tc>
      </w:tr>
    </w:tbl>
    <w:p>
      <w:pPr>
        <w:spacing w:after="120" w:before="120" w:line="276"/>
      </w:pPr>
      <w:r>
        <w:rPr>
          <w:rFonts w:ascii="Calibri" w:cs="Calibri" w:eastAsia="Calibri" w:hAnsi="Calibri"/>
          <w:color w:val="1A1A1A"/>
          <w:sz w:val="21"/>
          <w:szCs w:val="21"/>
        </w:rPr>
        <w:t xml:space="preserve">Leiten Sie zu jedem Lastenheft-Punkt einen konkreten Pflichtenheft-Eintrag ab (das WIE). Erläutern Sie in ein bis zwei Sätzen den Unterschied zwischen beiden Dokumenten.</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7  </w:t>
            </w:r>
            <w:r>
              <w:rPr>
                <w:rFonts w:ascii="Calibri" w:cs="Calibri" w:eastAsia="Calibri" w:hAnsi="Calibri"/>
                <w:b/>
                <w:bCs/>
                <w:color w:val="FFFFFF"/>
                <w:sz w:val="23"/>
                <w:szCs w:val="23"/>
              </w:rPr>
              <w:t xml:space="preserve">Use-Case-Diagramm</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Zeichnen Sie ein Use-Case-Diagramm für die Tourenplanung. Verwenden Sie mindestens den Akteur „Disponent", ein Fremdsystem als zweiten Akteur sowie drei Use Cases. Kennzeichnen Sie Systemgrenze und Assoziationen korrekt.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100"/>
              <w:left w:type="dxa" w:w="120"/>
              <w:bottom w:type="dxa" w:w="100"/>
              <w:right w:type="dxa" w:w="120"/>
            </w:tcMar>
          </w:tcPr>
          <w:p>
            <w:pPr>
              <w:spacing w:after="1600"/>
            </w:pPr>
            <w:r>
              <w:rPr>
                <w:rFonts w:ascii="Calibri" w:cs="Calibri" w:eastAsia="Calibri" w:hAnsi="Calibri"/>
                <w:i/>
                <w:iCs/>
                <w:color w:val="999999"/>
                <w:sz w:val="18"/>
                <w:szCs w:val="18"/>
              </w:rPr>
              <w:t xml:space="preserve">Zeichenfläche</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8  </w:t>
            </w:r>
            <w:r>
              <w:rPr>
                <w:rFonts w:ascii="Calibri" w:cs="Calibri" w:eastAsia="Calibri" w:hAnsi="Calibri"/>
                <w:b/>
                <w:bCs/>
                <w:color w:val="FFFFFF"/>
                <w:sz w:val="23"/>
                <w:szCs w:val="23"/>
              </w:rPr>
              <w:t xml:space="preserve">Aktivitätsdiagramm (AP2-relevant)</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16 Punkte</w:t>
            </w:r>
          </w:p>
        </w:tc>
      </w:tr>
    </w:tbl>
    <w:p>
      <w:pPr>
        <w:spacing w:after="80"/>
      </w:pPr>
      <w:r>
        <w:t xml:space="preserve"/>
      </w:r>
    </w:p>
    <w:p>
      <w:pPr>
        <w:spacing w:after="120" w:before="0" w:line="276"/>
      </w:pPr>
      <w:r>
        <w:rPr>
          <w:rFonts w:ascii="Calibri" w:cs="Calibri" w:eastAsia="Calibri" w:hAnsi="Calibri"/>
          <w:color w:val="1A1A1A"/>
          <w:sz w:val="21"/>
          <w:szCs w:val="21"/>
        </w:rPr>
        <w:t xml:space="preserve">Modellieren Sie den folgenden Ablauf als Aktivitätsdiagramm: Der Disponent legt eine Tour an. Das System prüft, ob ein freier Fahrer verfügbar ist. Wenn ja, wird die Tour automatisch zugeordnet. Wenn nein, wird die Tour dem Disponenten zur manuellen Bearbeitung vorgelegt. Danach ist der Vorgang beendet.</w:t>
      </w:r>
    </w:p>
    <w:p>
      <w:pPr>
        <w:spacing w:after="120" w:before="80" w:line="276"/>
      </w:pPr>
      <w:r>
        <w:rPr>
          <w:rFonts w:ascii="Calibri" w:cs="Calibri" w:eastAsia="Calibri" w:hAnsi="Calibri"/>
          <w:color w:val="1A1A1A"/>
          <w:sz w:val="21"/>
          <w:szCs w:val="21"/>
        </w:rPr>
        <w:t xml:space="preserve">Verwenden Sie Start- und Endknoten, Aktionen, eine Entscheidung (Raute) mit beschrifteten Kanten.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100"/>
              <w:left w:type="dxa" w:w="120"/>
              <w:bottom w:type="dxa" w:w="100"/>
              <w:right w:type="dxa" w:w="120"/>
            </w:tcMar>
          </w:tcPr>
          <w:p>
            <w:pPr>
              <w:spacing w:after="1600"/>
            </w:pPr>
            <w:r>
              <w:rPr>
                <w:rFonts w:ascii="Calibri" w:cs="Calibri" w:eastAsia="Calibri" w:hAnsi="Calibri"/>
                <w:i/>
                <w:iCs/>
                <w:color w:val="999999"/>
                <w:sz w:val="18"/>
                <w:szCs w:val="18"/>
              </w:rPr>
              <w:t xml:space="preserve">Zeichenfläche</w:t>
            </w:r>
          </w:p>
        </w:tc>
      </w:tr>
    </w:tbl>
    <w:p>
      <w:pPr>
        <w:spacing w:after="60"/>
      </w:pPr>
      <w:r>
        <w:br w:type="page"/>
      </w:r>
    </w:p>
    <w:p>
      <w:pPr>
        <w:spacing w:after="120"/>
      </w:pPr>
      <w:r>
        <w:rPr>
          <w:rFonts w:ascii="Calibri" w:cs="Calibri" w:eastAsia="Calibri" w:hAnsi="Calibri"/>
          <w:b/>
          <w:bCs/>
          <w:color w:val="003366"/>
          <w:sz w:val="28"/>
          <w:szCs w:val="28"/>
        </w:rPr>
        <w:t xml:space="preserve">Punkteübersicht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5426"/>
        <w:gridCol w:w="2000"/>
      </w:tblGrid>
      <w:tr>
        <w:trPr>
          <w:tblHeader/>
        </w:trPr>
        <w:tc>
          <w:tcPr>
            <w:tcW w:type="dxa" w:w="1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c>
          <w:tcPr>
            <w:tcW w:type="dxa" w:w="5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Thema</w:t>
            </w:r>
          </w:p>
        </w:tc>
        <w:tc>
          <w:tcPr>
            <w:tcW w:type="dxa" w:w="2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Stakeholder-Analyse</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Gesprächsleitfaden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Anforderungen gliedern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Anforderungsqualität</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MoSCoW-Priorisierung</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Vom Lastenheft zum Pflichtenheft</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7</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Use-Case-Diagramm</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8</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Aktivitätsdiagramm (AP2-relevant)</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16</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Gesamt</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Aufgabenheft E1 · Anforderungsanalyse</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abstractNum>
  <w:abstractNum w:abstractNumId="3" w15:restartNumberingAfterBreak="0">
    <w:multiLevelType w:val="hybridMultilevel"/>
    <w:lvl w:ilvl="0" w15:tentative="1">
      <w:start w:val="1"/>
      <w:numFmt w:val="bullet"/>
      <w:lvlText w:val="✓"/>
      <w:lvlJc w:val="left"/>
      <w:pPr>
        <w:ind w:left="360" w:hanging="220"/>
      </w:pPr>
      <w:rPr>
        <w:color w:val="2E7D32"/>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Aufgabenheft E1</dc:title>
  <dc:creator>bfw Lübeck</dc:creator>
  <cp:lastModifiedBy>Un-named</cp:lastModifiedBy>
  <cp:revision>1</cp:revision>
  <dcterms:created xsi:type="dcterms:W3CDTF">2026-07-26T16:06:12.681Z</dcterms:created>
  <dcterms:modified xsi:type="dcterms:W3CDTF">2026-07-26T16:06:12.681Z</dcterms:modified>
</cp:coreProperties>
</file>

<file path=docProps/custom.xml><?xml version="1.0" encoding="utf-8"?>
<Properties xmlns="http://schemas.openxmlformats.org/officeDocument/2006/custom-properties" xmlns:vt="http://schemas.openxmlformats.org/officeDocument/2006/docPropsVTypes"/>
</file>